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60"/>
      </w:pPr>
      <w:r>
        <w:rPr>
          <w:rFonts w:ascii="Arial" w:cs="Arial" w:eastAsia="Arial" w:hAnsi="Arial"/>
          <w:b/>
          <w:bCs/>
          <w:i w:val="false"/>
          <w:iCs w:val="false"/>
          <w:caps/>
          <w:color w:val="B7791F"/>
          <w:spacing w:val="60"/>
          <w:sz w:val="16"/>
          <w:szCs w:val="16"/>
        </w:rPr>
        <w:t xml:space="preserve">RESEARCH ARTICLE  ·  PREPRINT  ·  NOT PEER REVIEWED</w:t>
      </w:r>
    </w:p>
    <w:p>
      <w:pPr>
        <w:pBdr>
          <w:left w:val="single" w:color="1B4332" w:sz="24" w:space="12"/>
        </w:pBdr>
        <w:spacing w:after="0" w:before="0"/>
        <w:ind w:left="240"/>
      </w:pPr>
      <w:r>
        <w:rPr>
          <w:rFonts w:ascii="Arial" w:cs="Arial" w:eastAsia="Arial" w:hAnsi="Arial"/>
          <w:b/>
          <w:bCs/>
          <w:i w:val="false"/>
          <w:iCs w:val="false"/>
          <w:caps w:val="false"/>
          <w:color w:val="1B4332"/>
          <w:sz w:val="52"/>
          <w:szCs w:val="52"/>
        </w:rPr>
        <w:t xml:space="preserve">Near-Real-Time Detection of Illegal Deforestation and Artisanal Gold Mining in the Peruvian Amazon Using Multi-Source Satellite Imagery and Deep Learning</w:t>
      </w:r>
    </w:p>
    <w:p>
      <w:pPr>
        <w:spacing w:after="0" w:before="160"/>
      </w:pPr>
    </w:p>
    <w:p>
      <w:pPr>
        <w:spacing w:after="200" w:before="0"/>
        <w:ind w:left="240"/>
      </w:pPr>
      <w:r>
        <w:rPr>
          <w:rFonts w:ascii="Garamond" w:cs="Garamond" w:eastAsia="Garamond" w:hAnsi="Garamond"/>
          <w:b w:val="false"/>
          <w:bCs w:val="false"/>
          <w:i/>
          <w:iCs/>
          <w:caps w:val="false"/>
          <w:color w:val="64748B"/>
          <w:sz w:val="24"/>
          <w:szCs w:val="24"/>
        </w:rPr>
        <w:t xml:space="preserve">A sub-7-hour pipeline combining SegFormer segmentation, Siamese change detection, SAR cloud-piercing fusion, and geospatial enrichment across 85,300 km² of monitored Peruvian Amazon</w:t>
      </w:r>
    </w:p>
    <w:p>
      <w:pPr>
        <w:pBdr>
          <w:bottom w:val="single" w:color="1B4332" w:sz="6" w:space="1"/>
        </w:pBdr>
        <w:spacing w:after="120" w:before="120"/>
      </w:pP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AUTHOR</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Conner Renfro</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AFFILIATION</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Canopy Vision Lab — Salt Lake City, UT  ·  Lima, PE  (Est. 2023)</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CONTACT</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hello@canopyaivisionlab.org</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STATUS</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Preprint — not peer-reviewed</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DATE</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2025</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REGION</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Madre de Dios · Loreto buffer · Ucayali, Peru</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KEYWORDS</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Deforestation · Illegal gold mining · Remote sensing · Deep learning · SAR fusion · SegFormer · Amazon · Peru</w:t>
            </w:r>
          </w:p>
        </w:tc>
      </w:tr>
      <w:tr>
        <w:tc>
          <w:tcPr>
            <w:tcW w:type="dxa" w:w="20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i w:val="false"/>
                <w:iCs w:val="false"/>
                <w:caps/>
                <w:color w:val="64748B"/>
                <w:spacing w:val="30"/>
                <w:sz w:val="17"/>
                <w:szCs w:val="17"/>
              </w:rPr>
              <w:t xml:space="preserve">DATA LICENSE</w:t>
            </w:r>
          </w:p>
        </w:tc>
        <w:tc>
          <w:tcPr>
            <w:tcW w:type="dxa" w:w="7360"/>
            <w:tcBorders>
              <w:top w:val="none" w:color="FFFFFF" w:sz="0"/>
              <w:left w:val="none" w:color="FFFFFF" w:sz="0"/>
              <w:bottom w:val="single" w:color="CBD5E1" w:sz="1"/>
              <w:right w:val="none" w:color="FFFFFF" w:sz="0"/>
            </w:tcBorders>
            <w:tcMar>
              <w:top w:type="dxa" w:w="40"/>
              <w:left w:type="dxa" w:w="120"/>
              <w:bottom w:type="dxa" w:w="40"/>
              <w:right w:type="dxa" w:w="0"/>
            </w:tcMar>
          </w:tcPr>
          <w:p>
            <w:r>
              <w:rPr>
                <w:rFonts w:ascii="Garamond" w:cs="Garamond" w:eastAsia="Garamond" w:hAnsi="Garamond"/>
                <w:b w:val="false"/>
                <w:bCs w:val="false"/>
                <w:i w:val="false"/>
                <w:iCs w:val="false"/>
                <w:caps w:val="false"/>
                <w:color w:val="1E293B"/>
                <w:sz w:val="20"/>
                <w:szCs w:val="20"/>
              </w:rPr>
              <w:t xml:space="preserve">Non-commercial research license — model weights and labels available upon request</w:t>
            </w:r>
          </w:p>
        </w:tc>
      </w:tr>
    </w:tbl>
    <w:p>
      <w:pPr>
        <w:spacing w:after="0" w:before="200"/>
      </w:pPr>
    </w:p>
    <w:p>
      <w:pPr>
        <w:pBdr>
          <w:bottom w:val="single" w:color="CBD5E1" w:sz="3" w:space="1"/>
        </w:pBdr>
        <w:spacing w:after="120" w:before="120"/>
      </w:pPr>
    </w:p>
    <w:p>
      <w:pPr>
        <w:spacing w:after="0" w:before="160"/>
      </w:pPr>
    </w:p>
    <w:p>
      <w:pPr>
        <w:spacing w:after="0" w:before="400"/>
      </w:pPr>
      <w:r>
        <w:rPr>
          <w:rFonts w:ascii="Arial" w:cs="Arial" w:eastAsia="Arial" w:hAnsi="Arial"/>
          <w:b/>
          <w:bCs/>
          <w:i w:val="false"/>
          <w:iCs w:val="false"/>
          <w:caps w:val="false"/>
          <w:color w:val="2D6A4F"/>
          <w:sz w:val="17"/>
          <w:szCs w:val="17"/>
        </w:rPr>
        <w:t xml:space="preserve">§ 00  </w:t>
      </w:r>
      <w:r>
        <w:rPr>
          <w:rFonts w:ascii="Arial" w:cs="Arial" w:eastAsia="Arial" w:hAnsi="Arial"/>
          <w:b/>
          <w:bCs/>
          <w:i w:val="false"/>
          <w:iCs w:val="false"/>
          <w:caps/>
          <w:color w:val="1B4332"/>
          <w:spacing w:val="50"/>
          <w:sz w:val="17"/>
          <w:szCs w:val="17"/>
        </w:rPr>
        <w:t xml:space="preserve">ABSTRACT</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Abstract</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Illegal deforestation and artisanal gold mining in the Peruvian Amazon represent two of the most acute and accelerating environmental crises of the current decade. The Madre de Dios department alone has lost an estimated 95,750 hectares of primary forest to small-scale mining since 2009,</w:t>
      </w:r>
    </w:p>
    <w:p>
      <w:pPr>
        <w:spacing w:after="80" w:before="60"/>
      </w:pPr>
      <w:r>
        <w:rPr>
          <w:rFonts w:ascii="Garamond" w:cs="Garamond" w:eastAsia="Garamond" w:hAnsi="Garamond"/>
          <w:b w:val="false"/>
          <w:bCs w:val="false"/>
          <w:i w:val="false"/>
          <w:iCs w:val="false"/>
          <w:caps w:val="false"/>
          <w:color w:val="1E293B"/>
          <w:sz w:val="22"/>
          <w:szCs w:val="22"/>
        </w:rPr>
        <w:t xml:space="preserve">with the rate of loss accelerating in recent years.</w:t>
      </w:r>
      <w:r>
        <w:rPr>
          <w:rStyle w:val="FootnoteReference"/>
        </w:rPr>
        <w:footnoteReference w:id="1"/>
      </w:r>
      <w:r>
        <w:rPr>
          <w:rFonts w:ascii="Garamond" w:cs="Garamond" w:eastAsia="Garamond" w:hAnsi="Garamond"/>
          <w:b w:val="false"/>
          <w:bCs w:val="false"/>
          <w:i w:val="false"/>
          <w:iCs w:val="false"/>
          <w:caps w:val="false"/>
          <w:color w:val="1E293B"/>
          <w:sz w:val="22"/>
          <w:szCs w:val="22"/>
        </w:rPr>
        <w:t xml:space="preserve"> Traditional monitoring approaches — ground surveys, periodic satellite audits, and annual deforestation statistics — cannot keep pace with an activity that can clear several hectares within 48 hours.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This paper presents the architecture, methods, and early operational results of the Canopy Vision Lab monitoring system: an end-to-end pipeline that ingests multi-source satellite imagery (Sentinel-2 L2A, PlanetScope, Landsat 8/9, and Sentinel-1 SAR), applies a cascade of deep learning models for land-cover segmentation and multi-temporal change detection, enriches candidate alerts with geospatial context, and delivers actionable notifications to partner organizations within a median of 6.4 hours of the satellite acquisition event.</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Our primary segmentation model — a SegFormer-B3 architecture finetuned on approximately 42,000 labeled tiles across three Peruvian departments — achieves a mean Intersection over Union (mIoU) of 0.81 across five disturbance classes: intact forest, secondary growth, recent clearing, mine pit, and tailings/pond. A downstream Siamese change-detection model achieves a precision of 0.93. During the 2025 calendar year the system delivered 14,210 alerts to eleven partner organizations. This paper documents the full technical pipeline, dataset construction methodology, model architecture, evaluation framework, and operational deployment experience.</w:t>
      </w:r>
    </w:p>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1B4332" w:val="clear"/>
            <w:tcMar>
              <w:top w:type="dxa" w:w="0"/>
              <w:left w:type="dxa" w:w="0"/>
              <w:bottom w:type="dxa" w:w="0"/>
              <w:right w:type="dxa" w:w="0"/>
            </w:tcMar>
          </w:tcPr>
          <w:p/>
        </w:tc>
        <w:tc>
          <w:tcPr>
            <w:tcW w:type="dxa" w:w="9160"/>
            <w:tcBorders>
              <w:top w:val="none" w:color="FFFFFF" w:sz="0"/>
              <w:left w:val="none" w:color="FFFFFF" w:sz="0"/>
              <w:bottom w:val="none" w:color="FFFFFF" w:sz="0"/>
              <w:right w:val="none" w:color="FFFFFF" w:sz="0"/>
            </w:tcBorders>
            <w:shd w:fill="D8F3DC" w:val="clear"/>
            <w:tcMar>
              <w:top w:type="dxa" w:w="160"/>
              <w:left w:type="dxa" w:w="280"/>
              <w:bottom w:type="dxa" w:w="160"/>
              <w:right w:type="dxa" w:w="200"/>
            </w:tcMar>
          </w:tcPr>
          <w:p>
            <w:pPr>
              <w:spacing w:after="0" w:before="0" w:line="300"/>
              <w:jc w:val="left"/>
            </w:pPr>
            <w:r>
              <w:rPr>
                <w:rFonts w:ascii="Garamond" w:cs="Garamond" w:eastAsia="Garamond" w:hAnsi="Garamond"/>
                <w:b w:val="false"/>
                <w:bCs w:val="false"/>
                <w:i/>
                <w:iCs/>
                <w:caps w:val="false"/>
                <w:color w:val="1B4332"/>
                <w:sz w:val="24"/>
                <w:szCs w:val="24"/>
              </w:rPr>
              <w:t xml:space="preserve">"Forest loss in the Amazon is not primarily a data problem. The data, increasingly, is available. It is a problem of how quickly that signal reaches the people positioned to act on it."</w:t>
            </w:r>
          </w:p>
        </w:tc>
      </w:tr>
    </w:tbl>
    <w:p>
      <w:pPr>
        <w:spacing w:after="0" w:before="120"/>
      </w:pPr>
    </w:p>
    <w:p>
      <w:pPr>
        <w:spacing w:after="0" w:before="400"/>
      </w:pPr>
      <w:r>
        <w:rPr>
          <w:rFonts w:ascii="Arial" w:cs="Arial" w:eastAsia="Arial" w:hAnsi="Arial"/>
          <w:b/>
          <w:bCs/>
          <w:i w:val="false"/>
          <w:iCs w:val="false"/>
          <w:caps w:val="false"/>
          <w:color w:val="2D6A4F"/>
          <w:sz w:val="17"/>
          <w:szCs w:val="17"/>
        </w:rPr>
        <w:t xml:space="preserve">§ 01  </w:t>
      </w:r>
      <w:r>
        <w:rPr>
          <w:rFonts w:ascii="Arial" w:cs="Arial" w:eastAsia="Arial" w:hAnsi="Arial"/>
          <w:b/>
          <w:bCs/>
          <w:i w:val="false"/>
          <w:iCs w:val="false"/>
          <w:caps/>
          <w:color w:val="1B4332"/>
          <w:spacing w:val="50"/>
          <w:sz w:val="17"/>
          <w:szCs w:val="17"/>
        </w:rPr>
        <w:t xml:space="preserve">INTRODUCTION</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Introduction</w:t>
      </w:r>
    </w:p>
    <w:p>
      <w:pPr>
        <w:pStyle w:val="Heading2"/>
        <w:spacing w:after="80" w:before="260"/>
      </w:pPr>
      <w:r>
        <w:rPr>
          <w:rFonts w:ascii="Arial" w:cs="Arial" w:eastAsia="Arial" w:hAnsi="Arial"/>
          <w:b/>
          <w:bCs/>
          <w:i w:val="false"/>
          <w:iCs w:val="false"/>
          <w:caps w:val="false"/>
          <w:color w:val="1E293B"/>
          <w:sz w:val="26"/>
          <w:szCs w:val="26"/>
        </w:rPr>
        <w:t xml:space="preserve">1.1  The Scale and Speed of the Problem</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Amazon basin contains approximately 40% of the world's remaining tropical rainforest and hosts a disproportionate share of global terrestrial biodiversity. In Peru's Madre de Dios department — a region roughly the size of Portugal — artisanal and small-scale gold mining (ASGM) has become the dominant driver of primary forest loss, outpacing agricultural clearing in most sub-regions over the last decade.</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dynamics of ASGM make it uniquely suited to satellite monitoring. Unlike slash-and-burn agriculture, which tends to follow roads and produce gradual, recognizable patterns, alluvial gold mining can appear, expand, and relocate within days. The spectral signature is visually distinctive from orbit: circular or amoebic mine pits, mercury-laden settling ponds that appear as bright turquoise or gray in multispectral imagery, and radiating tailings fans that persist long after active extraction has moved on. These features are detectable at 10-meter resolution — the native ground sampling distance of Sentinel-2 — and become clearer still at the 3-meter resolution offered by commercial PlanetScope constellations.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Yet the monitoring capacity directed at these signals has historically been sparse. Annual deforestation statistics, while essential for policy, arrive too late to trigger enforcement. Alert systems based on single-band change magnitude thresholds produce high false-positive rates in cloud-heavy environments and limited class discrimination — they can identify that something changed, but not whether the change is a mine, a road, a fire scar, or a natural disturbance event.</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Canopy Vision Lab was established in 2023 with a specific mandate: to build and operate a monitoring system capable of distinguishing between disturbance classes at sub-hectare resolution, updating continuously through the rainy season, and delivering actionable intelligence to the organizations — NGOs, SERNANP rangers, prosecutors — who can actually intervene.</w:t>
      </w:r>
    </w:p>
    <w:p>
      <w:pPr>
        <w:pStyle w:val="Heading2"/>
        <w:spacing w:after="80" w:before="260"/>
      </w:pPr>
      <w:r>
        <w:rPr>
          <w:rFonts w:ascii="Arial" w:cs="Arial" w:eastAsia="Arial" w:hAnsi="Arial"/>
          <w:b/>
          <w:bCs/>
          <w:i w:val="false"/>
          <w:iCs w:val="false"/>
          <w:caps w:val="false"/>
          <w:color w:val="1E293B"/>
          <w:sz w:val="26"/>
          <w:szCs w:val="26"/>
        </w:rPr>
        <w:t xml:space="preserve">1.2  Contributions of This Work</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This paper makes the following primary contributions:</w:t>
      </w:r>
    </w:p>
    <w:p>
      <w:pPr>
        <w:pStyle w:val="ListParagraph"/>
        <w:numPr>
          <w:ilvl w:val="0"/>
          <w:numId w:val="2"/>
        </w:numPr>
        <w:spacing w:after="60" w:before="60" w:line="288"/>
      </w:pPr>
      <w:r>
        <w:rPr>
          <w:rFonts w:ascii="Garamond" w:cs="Garamond" w:eastAsia="Garamond" w:hAnsi="Garamond"/>
          <w:b w:val="false"/>
          <w:bCs w:val="false"/>
          <w:i w:val="false"/>
          <w:iCs w:val="false"/>
          <w:caps w:val="false"/>
          <w:color w:val="1E293B"/>
          <w:sz w:val="22"/>
          <w:szCs w:val="22"/>
        </w:rPr>
        <w:t xml:space="preserve">A complete description of an operational near-real-time (NRT) deforestation and mining alert pipeline deployed continuously over 85,300 km² of the Peruvian Amazon.</w:t>
      </w:r>
    </w:p>
    <w:p>
      <w:pPr>
        <w:pStyle w:val="ListParagraph"/>
        <w:numPr>
          <w:ilvl w:val="0"/>
          <w:numId w:val="2"/>
        </w:numPr>
        <w:spacing w:after="60" w:before="60" w:line="288"/>
      </w:pPr>
      <w:r>
        <w:rPr>
          <w:rFonts w:ascii="Garamond" w:cs="Garamond" w:eastAsia="Garamond" w:hAnsi="Garamond"/>
          <w:b w:val="false"/>
          <w:bCs w:val="false"/>
          <w:i w:val="false"/>
          <w:iCs w:val="false"/>
          <w:caps w:val="false"/>
          <w:color w:val="1E293B"/>
          <w:sz w:val="22"/>
          <w:szCs w:val="22"/>
        </w:rPr>
        <w:t xml:space="preserve">Quantitative evaluation of a SegFormer-B3 model finetuned for tropical disturbance segmentation across five semantic classes, with ablation analysis on training data composition and spectral band selection.</w:t>
      </w:r>
    </w:p>
    <w:p>
      <w:pPr>
        <w:pStyle w:val="ListParagraph"/>
        <w:numPr>
          <w:ilvl w:val="0"/>
          <w:numId w:val="2"/>
        </w:numPr>
        <w:spacing w:after="60" w:before="60" w:line="288"/>
      </w:pPr>
      <w:r>
        <w:rPr>
          <w:rFonts w:ascii="Garamond" w:cs="Garamond" w:eastAsia="Garamond" w:hAnsi="Garamond"/>
          <w:b w:val="false"/>
          <w:bCs w:val="false"/>
          <w:i w:val="false"/>
          <w:iCs w:val="false"/>
          <w:caps w:val="false"/>
          <w:color w:val="1E293B"/>
          <w:sz w:val="22"/>
          <w:szCs w:val="22"/>
        </w:rPr>
        <w:t xml:space="preserve">A Siamese change-detection architecture that controls for cloud cover, seasonal vegetation phenology, and atmospheric noise, achieving 0.93 precision on held-out test scenes.</w:t>
      </w:r>
    </w:p>
    <w:p>
      <w:pPr>
        <w:pStyle w:val="ListParagraph"/>
        <w:numPr>
          <w:ilvl w:val="0"/>
          <w:numId w:val="2"/>
        </w:numPr>
        <w:spacing w:after="60" w:before="60" w:line="288"/>
      </w:pPr>
      <w:r>
        <w:rPr>
          <w:rFonts w:ascii="Garamond" w:cs="Garamond" w:eastAsia="Garamond" w:hAnsi="Garamond"/>
          <w:b w:val="false"/>
          <w:bCs w:val="false"/>
          <w:i w:val="false"/>
          <w:iCs w:val="false"/>
          <w:caps w:val="false"/>
          <w:color w:val="1E293B"/>
          <w:sz w:val="22"/>
          <w:szCs w:val="22"/>
        </w:rPr>
        <w:t xml:space="preserve">A SAR fusion module that extends detection coverage through the Amazonian rainy season, when optical data availability falls below 20% of tiles per 10-day Sentinel-2 cycle.</w:t>
      </w:r>
    </w:p>
    <w:p>
      <w:pPr>
        <w:pStyle w:val="ListParagraph"/>
        <w:numPr>
          <w:ilvl w:val="0"/>
          <w:numId w:val="2"/>
        </w:numPr>
        <w:spacing w:after="60" w:before="60" w:line="288"/>
      </w:pPr>
      <w:r>
        <w:rPr>
          <w:rFonts w:ascii="Garamond" w:cs="Garamond" w:eastAsia="Garamond" w:hAnsi="Garamond"/>
          <w:b w:val="false"/>
          <w:bCs w:val="false"/>
          <w:i w:val="false"/>
          <w:iCs w:val="false"/>
          <w:caps w:val="false"/>
          <w:color w:val="1E293B"/>
          <w:sz w:val="22"/>
          <w:szCs w:val="22"/>
        </w:rPr>
        <w:t xml:space="preserve">A geospatial enrichment layer that automatically classifies detections by jurisdictional sensitivity and routes alerts to the appropriate partner tier.</w:t>
      </w:r>
    </w:p>
    <w:p>
      <w:pPr>
        <w:pStyle w:val="ListParagraph"/>
        <w:numPr>
          <w:ilvl w:val="0"/>
          <w:numId w:val="2"/>
        </w:numPr>
        <w:spacing w:after="60" w:before="60" w:line="288"/>
      </w:pPr>
      <w:r>
        <w:rPr>
          <w:rFonts w:ascii="Garamond" w:cs="Garamond" w:eastAsia="Garamond" w:hAnsi="Garamond"/>
          <w:b w:val="false"/>
          <w:bCs w:val="false"/>
          <w:i w:val="false"/>
          <w:iCs w:val="false"/>
          <w:caps w:val="false"/>
          <w:color w:val="1E293B"/>
          <w:sz w:val="22"/>
          <w:szCs w:val="22"/>
        </w:rPr>
        <w:t xml:space="preserve">Operational deployment statistics from calendar year 2025, including alert volume, partner coverage, and an analysis of analyst feedback labels cycled back into active training.</w:t>
      </w:r>
    </w:p>
    <w:p>
      <w:pPr>
        <w:spacing w:after="0" w:before="400"/>
      </w:pPr>
      <w:r>
        <w:rPr>
          <w:rFonts w:ascii="Arial" w:cs="Arial" w:eastAsia="Arial" w:hAnsi="Arial"/>
          <w:b/>
          <w:bCs/>
          <w:i w:val="false"/>
          <w:iCs w:val="false"/>
          <w:caps w:val="false"/>
          <w:color w:val="2D6A4F"/>
          <w:sz w:val="17"/>
          <w:szCs w:val="17"/>
        </w:rPr>
        <w:t xml:space="preserve">§ 02  </w:t>
      </w:r>
      <w:r>
        <w:rPr>
          <w:rFonts w:ascii="Arial" w:cs="Arial" w:eastAsia="Arial" w:hAnsi="Arial"/>
          <w:b/>
          <w:bCs/>
          <w:i w:val="false"/>
          <w:iCs w:val="false"/>
          <w:caps/>
          <w:color w:val="1B4332"/>
          <w:spacing w:val="50"/>
          <w:sz w:val="17"/>
          <w:szCs w:val="17"/>
        </w:rPr>
        <w:t xml:space="preserve">RELATED WORK</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Related Work</w:t>
      </w:r>
    </w:p>
    <w:p>
      <w:pPr>
        <w:pStyle w:val="Heading2"/>
        <w:spacing w:after="80" w:before="260"/>
      </w:pPr>
      <w:r>
        <w:rPr>
          <w:rFonts w:ascii="Arial" w:cs="Arial" w:eastAsia="Arial" w:hAnsi="Arial"/>
          <w:b/>
          <w:bCs/>
          <w:i w:val="false"/>
          <w:iCs w:val="false"/>
          <w:caps w:val="false"/>
          <w:color w:val="1E293B"/>
          <w:sz w:val="26"/>
          <w:szCs w:val="26"/>
        </w:rPr>
        <w:t xml:space="preserve">2.1  Satellite-Based Deforestation Monitoring</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use of satellite imagery for forest monitoring has a long history dating to the early Landsat missions of the 1970s. Contemporary operational systems include Brazil's PRODES/DETER system, Global Forest Watch's GLAD and RADD alerts, and the MAAP platform operated by the Amazon Conservation Association.</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GLAD alerts — based on Landsat 8 time series and probability thresholds applied to band reflectance residuals — provide global coverage at 30-meter resolution with approximately weekly cadence. While powerful in scale, the approach was not designed for class discrimination: it produces binary change/no-change outputs that do not distinguish mining from agriculture or fire. The RADD alert system extends this to Sentinel-1 SAR, enabling detection through cloud cover, but similarly produces class-agnostic outputs. The present system is designed to address this gap, providing per-pixel class labels and jurisdictional context with every alert.</w:t>
      </w:r>
    </w:p>
    <w:p>
      <w:pPr>
        <w:pStyle w:val="Heading2"/>
        <w:spacing w:after="80" w:before="260"/>
      </w:pPr>
      <w:r>
        <w:rPr>
          <w:rFonts w:ascii="Arial" w:cs="Arial" w:eastAsia="Arial" w:hAnsi="Arial"/>
          <w:b/>
          <w:bCs/>
          <w:i w:val="false"/>
          <w:iCs w:val="false"/>
          <w:caps w:val="false"/>
          <w:color w:val="1E293B"/>
          <w:sz w:val="26"/>
          <w:szCs w:val="26"/>
        </w:rPr>
        <w:t xml:space="preserve">2.2  Deep Learning for Remote Sensing Segmentation</w:t>
      </w:r>
    </w:p>
    <w:p>
      <w:pPr>
        <w:spacing w:after="80" w:before="60" w:line="300"/>
      </w:pPr>
      <w:r>
        <w:rPr>
          <w:rFonts w:ascii="Garamond" w:cs="Garamond" w:eastAsia="Garamond" w:hAnsi="Garamond"/>
          <w:b w:val="false"/>
          <w:bCs w:val="false"/>
          <w:i w:val="false"/>
          <w:iCs w:val="false"/>
          <w:caps w:val="false"/>
          <w:color w:val="1E293B"/>
          <w:sz w:val="22"/>
          <w:szCs w:val="22"/>
        </w:rPr>
        <w:t xml:space="preserve">The application of convolutional neural networks to remote sensing image segmentation has advanced rapidly since the introduction of U-Net (Ronneberger et al., 2015). Transformer-based architectures have more recently demonstrated competitive or superior performance on dense prediction tasks. SegFormer</w:t>
      </w:r>
      <w:r>
        <w:rPr>
          <w:rStyle w:val="FootnoteReference"/>
        </w:rPr>
        <w:footnoteReference w:id="3"/>
      </w:r>
      <w:r>
        <w:rPr>
          <w:rFonts w:ascii="Garamond" w:cs="Garamond" w:eastAsia="Garamond" w:hAnsi="Garamond"/>
          <w:b w:val="false"/>
          <w:bCs w:val="false"/>
          <w:i w:val="false"/>
          <w:iCs w:val="false"/>
          <w:caps w:val="false"/>
          <w:color w:val="1E293B"/>
          <w:sz w:val="22"/>
          <w:szCs w:val="22"/>
        </w:rPr>
        <w:t xml:space="preserve"> introduces a hierarchical mix transformer encoder paired with a lightweight all-MLP decoder, achieving strong benchmark performance while remaining computationally tractable — particularly well suited to detecting objects that vary substantially in size across large geographic areas.</w:t>
      </w:r>
    </w:p>
    <w:p>
      <w:pPr>
        <w:pStyle w:val="Heading2"/>
        <w:spacing w:after="80" w:before="260"/>
      </w:pPr>
      <w:r>
        <w:rPr>
          <w:rFonts w:ascii="Arial" w:cs="Arial" w:eastAsia="Arial" w:hAnsi="Arial"/>
          <w:b/>
          <w:bCs/>
          <w:i w:val="false"/>
          <w:iCs w:val="false"/>
          <w:caps w:val="false"/>
          <w:color w:val="1E293B"/>
          <w:sz w:val="26"/>
          <w:szCs w:val="26"/>
        </w:rPr>
        <w:t xml:space="preserve">2.3  Multi-Temporal Change Detection</w:t>
      </w:r>
    </w:p>
    <w:p>
      <w:pPr>
        <w:spacing w:after="80" w:before="60" w:line="300"/>
      </w:pPr>
      <w:r>
        <w:rPr>
          <w:rFonts w:ascii="Garamond" w:cs="Garamond" w:eastAsia="Garamond" w:hAnsi="Garamond"/>
          <w:b w:val="false"/>
          <w:bCs w:val="false"/>
          <w:i w:val="false"/>
          <w:iCs w:val="false"/>
          <w:caps w:val="false"/>
          <w:color w:val="1E293B"/>
          <w:sz w:val="22"/>
          <w:szCs w:val="22"/>
        </w:rPr>
        <w:t xml:space="preserve">Siamese neural networks — which process two input images through shared-weight branches before computing a similarity or difference representation — have become a dominant paradigm for learned change detection. Daudt et al.</w:t>
      </w:r>
      <w:r>
        <w:rPr>
          <w:rStyle w:val="FootnoteReference"/>
        </w:rPr>
        <w:footnoteReference w:id="4"/>
      </w:r>
      <w:r>
        <w:rPr>
          <w:rFonts w:ascii="Garamond" w:cs="Garamond" w:eastAsia="Garamond" w:hAnsi="Garamond"/>
          <w:b w:val="false"/>
          <w:bCs w:val="false"/>
          <w:i w:val="false"/>
          <w:iCs w:val="false"/>
          <w:caps w:val="false"/>
          <w:color w:val="1E293B"/>
          <w:sz w:val="22"/>
          <w:szCs w:val="22"/>
        </w:rPr>
        <w:t xml:space="preserve"> demonstrated that a fully convolutional Siamese architecture substantially outperforms traditional methods on building change detection. The present work adapts this architecture to tropical forest disturbance, with modifications for cloud masking and phenological variation.</w:t>
      </w:r>
    </w:p>
    <w:p>
      <w:pPr>
        <w:spacing w:after="0" w:before="400"/>
      </w:pPr>
      <w:r>
        <w:rPr>
          <w:rFonts w:ascii="Arial" w:cs="Arial" w:eastAsia="Arial" w:hAnsi="Arial"/>
          <w:b/>
          <w:bCs/>
          <w:i w:val="false"/>
          <w:iCs w:val="false"/>
          <w:caps w:val="false"/>
          <w:color w:val="2D6A4F"/>
          <w:sz w:val="17"/>
          <w:szCs w:val="17"/>
        </w:rPr>
        <w:t xml:space="preserve">§ 03  </w:t>
      </w:r>
      <w:r>
        <w:rPr>
          <w:rFonts w:ascii="Arial" w:cs="Arial" w:eastAsia="Arial" w:hAnsi="Arial"/>
          <w:b/>
          <w:bCs/>
          <w:i w:val="false"/>
          <w:iCs w:val="false"/>
          <w:caps/>
          <w:color w:val="1B4332"/>
          <w:spacing w:val="50"/>
          <w:sz w:val="17"/>
          <w:szCs w:val="17"/>
        </w:rPr>
        <w:t xml:space="preserve">STUDY AREA</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Study Area</w:t>
      </w:r>
    </w:p>
    <w:p>
      <w:pPr>
        <w:pStyle w:val="Heading2"/>
        <w:spacing w:after="80" w:before="260"/>
      </w:pPr>
      <w:r>
        <w:rPr>
          <w:rFonts w:ascii="Arial" w:cs="Arial" w:eastAsia="Arial" w:hAnsi="Arial"/>
          <w:b/>
          <w:bCs/>
          <w:i w:val="false"/>
          <w:iCs w:val="false"/>
          <w:caps w:val="false"/>
          <w:color w:val="1E293B"/>
          <w:sz w:val="26"/>
          <w:szCs w:val="26"/>
        </w:rPr>
        <w:t xml:space="preserve">3.1  Madre de Dios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primary study region is the Madre de Dios department of southeastern Peru (approximately 12.59° S, 69.19° W), covering 85,300 km² under active monitoring. The region encompasses the Manu Biosphere Reserve, the Tambopata National Reserve, multiple Indigenous community territories, and the La Pampa corridor — the epicenter of Peru's illegal gold mining crisis.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region's geology features extensive alluvial gold deposits concentrated in the floodplains of the Madre de Dios, Inambari, and Tambopata rivers. Extraction is dominated by informal and illegal operations using bulldozers, suction dredges, and mercury amalgamation — leaving behind denuded moonscapes, turbid settling ponds, and mercury-contaminated river systems that persist for decades.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Forest loss attributable to mining in Madre de Dios has been estimated at approximately 95,750 hectares between 2009 and 2024, based on a combination of MAAP-derived statistics and the lab's own retrospective analysis of the Google Earth Engine archive. This figure represents a lower bound: cloud cover during the October–April rainy season introduces systematic undercounting in optical-only analyses.</w:t>
      </w:r>
    </w:p>
    <w:p>
      <w:pPr>
        <w:pStyle w:val="Heading2"/>
        <w:spacing w:after="80" w:before="260"/>
      </w:pPr>
      <w:r>
        <w:rPr>
          <w:rFonts w:ascii="Arial" w:cs="Arial" w:eastAsia="Arial" w:hAnsi="Arial"/>
          <w:b/>
          <w:bCs/>
          <w:i w:val="false"/>
          <w:iCs w:val="false"/>
          <w:caps w:val="false"/>
          <w:color w:val="1E293B"/>
          <w:sz w:val="26"/>
          <w:szCs w:val="26"/>
        </w:rPr>
        <w:t xml:space="preserve">3.2  Extended Coverage: Loreto and Ucayali</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monitoring system also covers portions of the Loreto and Ucayali departments, with particular attention to the buffer zones of protected areas and the corridors connecting the Andean piedmont to the lowland forest. These areas face increasing pressure from logging road construction, which typically precedes more intensive extraction — making road incursion detection a key alert category in these sub-regions.</w:t>
      </w:r>
    </w:p>
    <w:p>
      <w:pPr>
        <w:pStyle w:val="Heading2"/>
        <w:spacing w:after="80" w:before="260"/>
      </w:pPr>
      <w:r>
        <w:rPr>
          <w:rFonts w:ascii="Arial" w:cs="Arial" w:eastAsia="Arial" w:hAnsi="Arial"/>
          <w:b/>
          <w:bCs/>
          <w:i w:val="false"/>
          <w:iCs w:val="false"/>
          <w:caps w:val="false"/>
          <w:color w:val="1E293B"/>
          <w:sz w:val="26"/>
          <w:szCs w:val="26"/>
        </w:rPr>
        <w:t xml:space="preserve">3.3  Climate and Cloud Cover</w:t>
      </w:r>
    </w:p>
    <w:p>
      <w:pPr>
        <w:spacing w:after="80" w:before="60" w:line="300"/>
      </w:pPr>
      <w:r>
        <w:rPr>
          <w:rFonts w:ascii="Garamond" w:cs="Garamond" w:eastAsia="Garamond" w:hAnsi="Garamond"/>
          <w:b w:val="false"/>
          <w:bCs w:val="false"/>
          <w:i w:val="false"/>
          <w:iCs w:val="false"/>
          <w:caps w:val="false"/>
          <w:color w:val="1E293B"/>
          <w:sz w:val="22"/>
          <w:szCs w:val="22"/>
        </w:rPr>
        <w:t xml:space="preserve">The Peruvian Amazon experiences a pronounced wet season from approximately October through April. Analysis of the Sentinel-2 archive indicates that fewer than 20% of 10-day granules are cloud-free during peak wet-season months,</w:t>
      </w:r>
      <w:r>
        <w:rPr>
          <w:rStyle w:val="FootnoteReference"/>
        </w:rPr>
        <w:footnoteReference w:id="2"/>
      </w:r>
      <w:r>
        <w:rPr>
          <w:rFonts w:ascii="Garamond" w:cs="Garamond" w:eastAsia="Garamond" w:hAnsi="Garamond"/>
          <w:b w:val="false"/>
          <w:bCs w:val="false"/>
          <w:i w:val="false"/>
          <w:iCs w:val="false"/>
          <w:caps w:val="false"/>
          <w:color w:val="1E293B"/>
          <w:sz w:val="22"/>
          <w:szCs w:val="22"/>
        </w:rPr>
        <w:t xml:space="preserve"> motivating the integration of Sentinel-1 SAR imagery into the monitoring pipeline.</w:t>
      </w:r>
    </w:p>
    <w:p>
      <w:pPr>
        <w:spacing w:after="0" w:before="400"/>
      </w:pPr>
      <w:r>
        <w:rPr>
          <w:rFonts w:ascii="Arial" w:cs="Arial" w:eastAsia="Arial" w:hAnsi="Arial"/>
          <w:b/>
          <w:bCs/>
          <w:i w:val="false"/>
          <w:iCs w:val="false"/>
          <w:caps w:val="false"/>
          <w:color w:val="2D6A4F"/>
          <w:sz w:val="17"/>
          <w:szCs w:val="17"/>
        </w:rPr>
        <w:t xml:space="preserve">§ 04  </w:t>
      </w:r>
      <w:r>
        <w:rPr>
          <w:rFonts w:ascii="Arial" w:cs="Arial" w:eastAsia="Arial" w:hAnsi="Arial"/>
          <w:b/>
          <w:bCs/>
          <w:i w:val="false"/>
          <w:iCs w:val="false"/>
          <w:caps/>
          <w:color w:val="1B4332"/>
          <w:spacing w:val="50"/>
          <w:sz w:val="17"/>
          <w:szCs w:val="17"/>
        </w:rPr>
        <w:t xml:space="preserve">DATA SOURCES</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Data Sources</w:t>
      </w:r>
    </w:p>
    <w:p>
      <w:pPr>
        <w:pStyle w:val="Heading2"/>
        <w:spacing w:after="80" w:before="260"/>
      </w:pPr>
      <w:r>
        <w:rPr>
          <w:rFonts w:ascii="Arial" w:cs="Arial" w:eastAsia="Arial" w:hAnsi="Arial"/>
          <w:b/>
          <w:bCs/>
          <w:i w:val="false"/>
          <w:iCs w:val="false"/>
          <w:caps w:val="false"/>
          <w:color w:val="1E293B"/>
          <w:sz w:val="26"/>
          <w:szCs w:val="26"/>
        </w:rPr>
        <w:t xml:space="preserve">4.1  Optical Imagery</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Sentinel-2 Level-2A data, providing surface reflectance at 10 m/px across visible, near-infrared, and shortwave infrared bands, is the primary optical input. L2A products have undergone atmospheric correction using the Sen2Cor processor, making them directly comparable across acquisition dates — a prerequisite for reliable multi-temporal change detection. PlanetScope imagery at 3-meter resolution is used as a secondary input for alert verification and for constructing high-confidence training labels. Landsat 8/9 data (30-meter resolution) provides historical context for retrospective analysis and extends the training label archive back to 2013.</w:t>
      </w:r>
    </w:p>
    <w:p>
      <w:pPr>
        <w:pStyle w:val="Heading2"/>
        <w:spacing w:after="80" w:before="260"/>
      </w:pPr>
      <w:r>
        <w:rPr>
          <w:rFonts w:ascii="Arial" w:cs="Arial" w:eastAsia="Arial" w:hAnsi="Arial"/>
          <w:b/>
          <w:bCs/>
          <w:i w:val="false"/>
          <w:iCs w:val="false"/>
          <w:caps w:val="false"/>
          <w:color w:val="1E293B"/>
          <w:sz w:val="26"/>
          <w:szCs w:val="26"/>
        </w:rPr>
        <w:t xml:space="preserve">4.2  Synthetic Aperture Radar</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Sentinel-1 Ground Range Detected data in Interferometric Wide Swath mode provides dual-polarization (VV and VH) backscatter intensity at 10-meter resolution with a 6-day revisit cycle. SAR data is processed through a standard chain including orbit correction, thermal-noise removal, radiometric calibration, terrain correction using the SRTM 1-arc-second DEM, and decibel conversion. Processed imagery is co-registered to the Sentinel-2 tile grid to facilitate data fusion.</w:t>
      </w:r>
    </w:p>
    <w:p>
      <w:pPr>
        <w:pStyle w:val="Heading2"/>
        <w:spacing w:after="80" w:before="260"/>
      </w:pPr>
      <w:r>
        <w:rPr>
          <w:rFonts w:ascii="Arial" w:cs="Arial" w:eastAsia="Arial" w:hAnsi="Arial"/>
          <w:b/>
          <w:bCs/>
          <w:i w:val="false"/>
          <w:iCs w:val="false"/>
          <w:caps w:val="false"/>
          <w:color w:val="1E293B"/>
          <w:sz w:val="26"/>
          <w:szCs w:val="26"/>
        </w:rPr>
        <w:t xml:space="preserve">4.3  Geospatial Reference Layers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geospatial enrichment layer draws on SERNANP's official protected area boundaries; the MINEM mining concession polygon layer; IBC Indigenous territory boundaries; and the national road network from INEI, updated with OpenStreetMap contributions. MAAP alert geometries and GFW GLAD/RADD alerts are ingested as supplementary validation data.</w:t>
      </w:r>
    </w:p>
    <w:p>
      <w:pPr>
        <w:pStyle w:val="Heading2"/>
        <w:spacing w:after="80" w:before="260"/>
      </w:pPr>
      <w:r>
        <w:rPr>
          <w:rFonts w:ascii="Arial" w:cs="Arial" w:eastAsia="Arial" w:hAnsi="Arial"/>
          <w:b/>
          <w:bCs/>
          <w:i w:val="false"/>
          <w:iCs w:val="false"/>
          <w:caps w:val="false"/>
          <w:color w:val="1E293B"/>
          <w:sz w:val="26"/>
          <w:szCs w:val="26"/>
        </w:rPr>
        <w:t xml:space="preserve">4.4  Training Labels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Approximately 42,000 tiles (256 × 256 pixels at 10 m/px) across the three study departments were labeled by a team of two annotators using a custom interface. Each tile received per-pixel labels for five classes: intact forest (0), secondary growth (1), recent clearing (2), mine pit (3), and tailings/pond (4). Inter-annotator agreement on the five-class problem was κ = 0.79, with most disagreement concentrated on the intact forest / secondary growth boundary in areas with recent selective logging.</w:t>
      </w:r>
    </w:p>
    <w:p>
      <w:pPr>
        <w:spacing w:after="0" w:before="400"/>
      </w:pPr>
      <w:r>
        <w:rPr>
          <w:rFonts w:ascii="Arial" w:cs="Arial" w:eastAsia="Arial" w:hAnsi="Arial"/>
          <w:b/>
          <w:bCs/>
          <w:i w:val="false"/>
          <w:iCs w:val="false"/>
          <w:caps w:val="false"/>
          <w:color w:val="2D6A4F"/>
          <w:sz w:val="17"/>
          <w:szCs w:val="17"/>
        </w:rPr>
        <w:t xml:space="preserve">§ 05  </w:t>
      </w:r>
      <w:r>
        <w:rPr>
          <w:rFonts w:ascii="Arial" w:cs="Arial" w:eastAsia="Arial" w:hAnsi="Arial"/>
          <w:b/>
          <w:bCs/>
          <w:i w:val="false"/>
          <w:iCs w:val="false"/>
          <w:caps/>
          <w:color w:val="1B4332"/>
          <w:spacing w:val="50"/>
          <w:sz w:val="17"/>
          <w:szCs w:val="17"/>
        </w:rPr>
        <w:t xml:space="preserve">METHODS</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Methods</w:t>
      </w:r>
    </w:p>
    <w:p>
      <w:pPr>
        <w:pStyle w:val="Heading2"/>
        <w:spacing w:after="80" w:before="260"/>
      </w:pPr>
      <w:r>
        <w:rPr>
          <w:rFonts w:ascii="Arial" w:cs="Arial" w:eastAsia="Arial" w:hAnsi="Arial"/>
          <w:b/>
          <w:bCs/>
          <w:i w:val="false"/>
          <w:iCs w:val="false"/>
          <w:caps w:val="false"/>
          <w:color w:val="1E293B"/>
          <w:sz w:val="26"/>
          <w:szCs w:val="26"/>
        </w:rPr>
        <w:t xml:space="preserve">5.1  Pipeline Overview</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monitoring pipeline consists of five sequential stages: (1) ingestion and preprocessing; (2) cloud masking and QA; (3) land-cover segmentation; (4) multi-temporal change detection; (5) geospatial enrichment and alert routing. Each stage is described below with the corresponding benchmark figures from the operational system.</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2D6A4F" w:sz="4"/>
              <w:left w:val="single" w:color="2D6A4F" w:sz="4"/>
              <w:bottom w:val="single" w:color="CBD5E1" w:sz="1"/>
              <w:right w:val="single" w:color="CBD5E1" w:sz="1"/>
            </w:tcBorders>
            <w:shd w:fill="1B4332" w:val="clear"/>
            <w:tcMar>
              <w:top w:type="dxa" w:w="160"/>
              <w:left w:type="dxa" w:w="160"/>
              <w:bottom w:type="dxa" w:w="160"/>
              <w:right w:type="dxa" w:w="160"/>
            </w:tcMar>
            <w:vAlign w:val="center"/>
          </w:tcPr>
          <w:p>
            <w:pPr>
              <w:jc w:val="center"/>
            </w:pPr>
            <w:r>
              <w:rPr>
                <w:rFonts w:ascii="Arial" w:cs="Arial" w:eastAsia="Arial" w:hAnsi="Arial"/>
                <w:b/>
                <w:bCs/>
                <w:i w:val="false"/>
                <w:iCs w:val="false"/>
                <w:caps/>
                <w:color w:val="FFFFFF"/>
                <w:sz w:val="18"/>
                <w:szCs w:val="18"/>
              </w:rPr>
              <w:t xml:space="preserve">M·01</w:t>
            </w:r>
          </w:p>
          <w:p>
            <w:pPr>
              <w:spacing w:before="40"/>
              <w:jc w:val="center"/>
            </w:pPr>
            <w:r>
              <w:rPr>
                <w:rFonts w:ascii="Arial" w:cs="Arial" w:eastAsia="Arial" w:hAnsi="Arial"/>
                <w:b w:val="false"/>
                <w:bCs w:val="false"/>
                <w:i w:val="false"/>
                <w:iCs w:val="false"/>
                <w:caps w:val="false"/>
                <w:color w:val="D8F3DC"/>
                <w:sz w:val="16"/>
                <w:szCs w:val="16"/>
              </w:rPr>
              <w:t xml:space="preserve">Tile</w:t>
            </w:r>
          </w:p>
        </w:tc>
        <w:tc>
          <w:tcPr>
            <w:tcW w:type="dxa" w:w="8160"/>
            <w:tcBorders>
              <w:top w:val="single" w:color="CBD5E1" w:sz="1"/>
              <w:left w:val="single" w:color="CBD5E1" w:sz="1"/>
              <w:bottom w:val="single" w:color="CBD5E1" w:sz="1"/>
              <w:right w:val="single" w:color="CBD5E1" w:sz="1"/>
            </w:tcBorders>
            <w:shd w:fill="F8FAFC" w:val="clear"/>
            <w:tcMar>
              <w:top w:type="dxa" w:w="160"/>
              <w:left w:type="dxa" w:w="240"/>
              <w:bottom w:type="dxa" w:w="160"/>
              <w:right w:type="dxa" w:w="200"/>
            </w:tcMar>
          </w:tcPr>
          <w:p>
            <w:pPr>
              <w:spacing w:after="60" w:before="0"/>
            </w:pPr>
            <w:r>
              <w:rPr>
                <w:rFonts w:ascii="Arial" w:cs="Arial" w:eastAsia="Arial" w:hAnsi="Arial"/>
                <w:b/>
                <w:bCs/>
                <w:i w:val="false"/>
                <w:iCs w:val="false"/>
                <w:caps w:val="false"/>
                <w:color w:val="1E293B"/>
                <w:sz w:val="22"/>
                <w:szCs w:val="22"/>
              </w:rPr>
              <w:t xml:space="preserve">Tile Ingest, Normalize, and Mask</w:t>
            </w:r>
          </w:p>
          <w:p>
            <w:pPr>
              <w:spacing w:after="80" w:before="0"/>
            </w:pPr>
            <w:r>
              <w:rPr>
                <w:rFonts w:ascii="Garamond" w:cs="Garamond" w:eastAsia="Garamond" w:hAnsi="Garamond"/>
                <w:b w:val="false"/>
                <w:bCs w:val="false"/>
                <w:i w:val="false"/>
                <w:iCs w:val="false"/>
                <w:caps w:val="false"/>
                <w:color w:val="64748B"/>
                <w:sz w:val="20"/>
                <w:szCs w:val="20"/>
              </w:rPr>
              <w:t xml:space="preserve">Sentinel-2 L2A tiles are pulled from the Copernicus Data Space Ecosystem within minutes of publication. Per-band atmospheric normalization corrects residual variation not removed by the L2A chain. Cloud and shadow masking combines FMask 4.6 with a learned classifier head trained on Amazonian cloud morphology. Tiles exceeding 60% masked pixels are flagged for SAR fallback.</w:t>
            </w:r>
          </w:p>
          <w:p>
            <w:pPr>
              <w:spacing w:after="0" w:before="0"/>
            </w:pPr>
            <w:r>
              <w:rPr>
                <w:rFonts w:ascii="Arial" w:cs="Arial" w:eastAsia="Arial" w:hAnsi="Arial"/>
                <w:b/>
                <w:bCs/>
                <w:i w:val="false"/>
                <w:iCs w:val="false"/>
                <w:caps w:val="false"/>
                <w:color w:val="2D6A4F"/>
                <w:sz w:val="17"/>
                <w:szCs w:val="17"/>
              </w:rPr>
              <w:t xml:space="preserve">Sentinel-2 L2A</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10 m/px</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FMask 4.6</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SAR fallback</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2D6A4F" w:sz="4"/>
              <w:left w:val="single" w:color="2D6A4F" w:sz="4"/>
              <w:bottom w:val="single" w:color="CBD5E1" w:sz="1"/>
              <w:right w:val="single" w:color="CBD5E1" w:sz="1"/>
            </w:tcBorders>
            <w:shd w:fill="1B4332" w:val="clear"/>
            <w:tcMar>
              <w:top w:type="dxa" w:w="160"/>
              <w:left w:type="dxa" w:w="160"/>
              <w:bottom w:type="dxa" w:w="160"/>
              <w:right w:type="dxa" w:w="160"/>
            </w:tcMar>
            <w:vAlign w:val="center"/>
          </w:tcPr>
          <w:p>
            <w:pPr>
              <w:jc w:val="center"/>
            </w:pPr>
            <w:r>
              <w:rPr>
                <w:rFonts w:ascii="Arial" w:cs="Arial" w:eastAsia="Arial" w:hAnsi="Arial"/>
                <w:b/>
                <w:bCs/>
                <w:i w:val="false"/>
                <w:iCs w:val="false"/>
                <w:caps/>
                <w:color w:val="FFFFFF"/>
                <w:sz w:val="18"/>
                <w:szCs w:val="18"/>
              </w:rPr>
              <w:t xml:space="preserve">M·02</w:t>
            </w:r>
          </w:p>
          <w:p>
            <w:pPr>
              <w:spacing w:before="40"/>
              <w:jc w:val="center"/>
            </w:pPr>
            <w:r>
              <w:rPr>
                <w:rFonts w:ascii="Arial" w:cs="Arial" w:eastAsia="Arial" w:hAnsi="Arial"/>
                <w:b w:val="false"/>
                <w:bCs w:val="false"/>
                <w:i w:val="false"/>
                <w:iCs w:val="false"/>
                <w:caps w:val="false"/>
                <w:color w:val="D8F3DC"/>
                <w:sz w:val="16"/>
                <w:szCs w:val="16"/>
              </w:rPr>
              <w:t xml:space="preserve">Land-Cover</w:t>
            </w:r>
          </w:p>
        </w:tc>
        <w:tc>
          <w:tcPr>
            <w:tcW w:type="dxa" w:w="8160"/>
            <w:tcBorders>
              <w:top w:val="single" w:color="CBD5E1" w:sz="1"/>
              <w:left w:val="single" w:color="CBD5E1" w:sz="1"/>
              <w:bottom w:val="single" w:color="CBD5E1" w:sz="1"/>
              <w:right w:val="single" w:color="CBD5E1" w:sz="1"/>
            </w:tcBorders>
            <w:shd w:fill="F8FAFC" w:val="clear"/>
            <w:tcMar>
              <w:top w:type="dxa" w:w="160"/>
              <w:left w:type="dxa" w:w="240"/>
              <w:bottom w:type="dxa" w:w="160"/>
              <w:right w:type="dxa" w:w="200"/>
            </w:tcMar>
          </w:tcPr>
          <w:p>
            <w:pPr>
              <w:spacing w:after="60" w:before="0"/>
            </w:pPr>
            <w:r>
              <w:rPr>
                <w:rFonts w:ascii="Arial" w:cs="Arial" w:eastAsia="Arial" w:hAnsi="Arial"/>
                <w:b/>
                <w:bCs/>
                <w:i w:val="false"/>
                <w:iCs w:val="false"/>
                <w:caps w:val="false"/>
                <w:color w:val="1E293B"/>
                <w:sz w:val="22"/>
                <w:szCs w:val="22"/>
              </w:rPr>
              <w:t xml:space="preserve">Land-Cover Segmentation</w:t>
            </w:r>
          </w:p>
          <w:p>
            <w:pPr>
              <w:spacing w:after="80" w:before="0"/>
            </w:pPr>
            <w:r>
              <w:rPr>
                <w:rFonts w:ascii="Garamond" w:cs="Garamond" w:eastAsia="Garamond" w:hAnsi="Garamond"/>
                <w:b w:val="false"/>
                <w:bCs w:val="false"/>
                <w:i w:val="false"/>
                <w:iCs w:val="false"/>
                <w:caps w:val="false"/>
                <w:color w:val="64748B"/>
                <w:sz w:val="20"/>
                <w:szCs w:val="20"/>
              </w:rPr>
              <w:t xml:space="preserve">A SegFormer-B3 backbone finetuned on 42,000 labeled tiles produces per-pixel disturbance masks across five classes. The B3 variant (45M parameters) was selected through ablation experiments as offering the best precision-compute tradeoff — achieving 94% of B5 mIoU at 58% of inference time. Applied in sliding-window fashion with 64-pixel overlap to avoid boundary artifacts.</w:t>
            </w:r>
          </w:p>
          <w:p>
            <w:pPr>
              <w:spacing w:after="0" w:before="0"/>
            </w:pPr>
            <w:r>
              <w:rPr>
                <w:rFonts w:ascii="Arial" w:cs="Arial" w:eastAsia="Arial" w:hAnsi="Arial"/>
                <w:b/>
                <w:bCs/>
                <w:i w:val="false"/>
                <w:iCs w:val="false"/>
                <w:caps w:val="false"/>
                <w:color w:val="2D6A4F"/>
                <w:sz w:val="17"/>
                <w:szCs w:val="17"/>
              </w:rPr>
              <w:t xml:space="preserve">SegFormer-B3</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5 classes</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~42k labels</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mIoU 0.81</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2D6A4F" w:sz="4"/>
              <w:left w:val="single" w:color="2D6A4F" w:sz="4"/>
              <w:bottom w:val="single" w:color="CBD5E1" w:sz="1"/>
              <w:right w:val="single" w:color="CBD5E1" w:sz="1"/>
            </w:tcBorders>
            <w:shd w:fill="1B4332" w:val="clear"/>
            <w:tcMar>
              <w:top w:type="dxa" w:w="160"/>
              <w:left w:type="dxa" w:w="160"/>
              <w:bottom w:type="dxa" w:w="160"/>
              <w:right w:type="dxa" w:w="160"/>
            </w:tcMar>
            <w:vAlign w:val="center"/>
          </w:tcPr>
          <w:p>
            <w:pPr>
              <w:jc w:val="center"/>
            </w:pPr>
            <w:r>
              <w:rPr>
                <w:rFonts w:ascii="Arial" w:cs="Arial" w:eastAsia="Arial" w:hAnsi="Arial"/>
                <w:b/>
                <w:bCs/>
                <w:i w:val="false"/>
                <w:iCs w:val="false"/>
                <w:caps/>
                <w:color w:val="FFFFFF"/>
                <w:sz w:val="18"/>
                <w:szCs w:val="18"/>
              </w:rPr>
              <w:t xml:space="preserve">M·03</w:t>
            </w:r>
          </w:p>
          <w:p>
            <w:pPr>
              <w:spacing w:before="40"/>
              <w:jc w:val="center"/>
            </w:pPr>
            <w:r>
              <w:rPr>
                <w:rFonts w:ascii="Arial" w:cs="Arial" w:eastAsia="Arial" w:hAnsi="Arial"/>
                <w:b w:val="false"/>
                <w:bCs w:val="false"/>
                <w:i w:val="false"/>
                <w:iCs w:val="false"/>
                <w:caps w:val="false"/>
                <w:color w:val="D8F3DC"/>
                <w:sz w:val="16"/>
                <w:szCs w:val="16"/>
              </w:rPr>
              <w:t xml:space="preserve">Multi-Temporal</w:t>
            </w:r>
          </w:p>
        </w:tc>
        <w:tc>
          <w:tcPr>
            <w:tcW w:type="dxa" w:w="8160"/>
            <w:tcBorders>
              <w:top w:val="single" w:color="CBD5E1" w:sz="1"/>
              <w:left w:val="single" w:color="CBD5E1" w:sz="1"/>
              <w:bottom w:val="single" w:color="CBD5E1" w:sz="1"/>
              <w:right w:val="single" w:color="CBD5E1" w:sz="1"/>
            </w:tcBorders>
            <w:shd w:fill="F8FAFC" w:val="clear"/>
            <w:tcMar>
              <w:top w:type="dxa" w:w="160"/>
              <w:left w:type="dxa" w:w="240"/>
              <w:bottom w:type="dxa" w:w="160"/>
              <w:right w:type="dxa" w:w="200"/>
            </w:tcMar>
          </w:tcPr>
          <w:p>
            <w:pPr>
              <w:spacing w:after="60" w:before="0"/>
            </w:pPr>
            <w:r>
              <w:rPr>
                <w:rFonts w:ascii="Arial" w:cs="Arial" w:eastAsia="Arial" w:hAnsi="Arial"/>
                <w:b/>
                <w:bCs/>
                <w:i w:val="false"/>
                <w:iCs w:val="false"/>
                <w:caps w:val="false"/>
                <w:color w:val="1E293B"/>
                <w:sz w:val="22"/>
                <w:szCs w:val="22"/>
              </w:rPr>
              <w:t xml:space="preserve">Multi-Temporal Change Detection</w:t>
            </w:r>
          </w:p>
          <w:p>
            <w:pPr>
              <w:spacing w:after="80" w:before="0"/>
            </w:pPr>
            <w:r>
              <w:rPr>
                <w:rFonts w:ascii="Garamond" w:cs="Garamond" w:eastAsia="Garamond" w:hAnsi="Garamond"/>
                <w:b w:val="false"/>
                <w:bCs w:val="false"/>
                <w:i w:val="false"/>
                <w:iCs w:val="false"/>
                <w:caps w:val="false"/>
                <w:color w:val="64748B"/>
                <w:sz w:val="20"/>
                <w:szCs w:val="20"/>
              </w:rPr>
              <w:t xml:space="preserve">Pixel-paired tiles from consecutive Sentinel-2 passes (5–10 day interval) feed a Siamese U-Net. Difference features are decoded to a per-pixel change probability map. A seasonal baseline suppression module estimates the expected reflectance range for each pixel using a three-year archive, subtracting phenological variation before computing change magnitude — reducing false positives from green-up events by ~38%.</w:t>
            </w:r>
          </w:p>
          <w:p>
            <w:pPr>
              <w:spacing w:after="0" w:before="0"/>
            </w:pPr>
            <w:r>
              <w:rPr>
                <w:rFonts w:ascii="Arial" w:cs="Arial" w:eastAsia="Arial" w:hAnsi="Arial"/>
                <w:b/>
                <w:bCs/>
                <w:i w:val="false"/>
                <w:iCs w:val="false"/>
                <w:caps w:val="false"/>
                <w:color w:val="2D6A4F"/>
                <w:sz w:val="17"/>
                <w:szCs w:val="17"/>
              </w:rPr>
              <w:t xml:space="preserve">Siamese U-Net</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5–10 day Δ</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cloud-aware</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precision 0.93</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2D6A4F" w:sz="4"/>
              <w:left w:val="single" w:color="2D6A4F" w:sz="4"/>
              <w:bottom w:val="single" w:color="CBD5E1" w:sz="1"/>
              <w:right w:val="single" w:color="CBD5E1" w:sz="1"/>
            </w:tcBorders>
            <w:shd w:fill="1B4332" w:val="clear"/>
            <w:tcMar>
              <w:top w:type="dxa" w:w="160"/>
              <w:left w:type="dxa" w:w="160"/>
              <w:bottom w:type="dxa" w:w="160"/>
              <w:right w:type="dxa" w:w="160"/>
            </w:tcMar>
            <w:vAlign w:val="center"/>
          </w:tcPr>
          <w:p>
            <w:pPr>
              <w:jc w:val="center"/>
            </w:pPr>
            <w:r>
              <w:rPr>
                <w:rFonts w:ascii="Arial" w:cs="Arial" w:eastAsia="Arial" w:hAnsi="Arial"/>
                <w:b/>
                <w:bCs/>
                <w:i w:val="false"/>
                <w:iCs w:val="false"/>
                <w:caps/>
                <w:color w:val="FFFFFF"/>
                <w:sz w:val="18"/>
                <w:szCs w:val="18"/>
              </w:rPr>
              <w:t xml:space="preserve">M·04</w:t>
            </w:r>
          </w:p>
          <w:p>
            <w:pPr>
              <w:spacing w:before="40"/>
              <w:jc w:val="center"/>
            </w:pPr>
            <w:r>
              <w:rPr>
                <w:rFonts w:ascii="Arial" w:cs="Arial" w:eastAsia="Arial" w:hAnsi="Arial"/>
                <w:b w:val="false"/>
                <w:bCs w:val="false"/>
                <w:i w:val="false"/>
                <w:iCs w:val="false"/>
                <w:caps w:val="false"/>
                <w:color w:val="D8F3DC"/>
                <w:sz w:val="16"/>
                <w:szCs w:val="16"/>
              </w:rPr>
              <w:t xml:space="preserve">SAR</w:t>
            </w:r>
          </w:p>
        </w:tc>
        <w:tc>
          <w:tcPr>
            <w:tcW w:type="dxa" w:w="8160"/>
            <w:tcBorders>
              <w:top w:val="single" w:color="CBD5E1" w:sz="1"/>
              <w:left w:val="single" w:color="CBD5E1" w:sz="1"/>
              <w:bottom w:val="single" w:color="CBD5E1" w:sz="1"/>
              <w:right w:val="single" w:color="CBD5E1" w:sz="1"/>
            </w:tcBorders>
            <w:shd w:fill="F8FAFC" w:val="clear"/>
            <w:tcMar>
              <w:top w:type="dxa" w:w="160"/>
              <w:left w:type="dxa" w:w="240"/>
              <w:bottom w:type="dxa" w:w="160"/>
              <w:right w:type="dxa" w:w="200"/>
            </w:tcMar>
          </w:tcPr>
          <w:p>
            <w:pPr>
              <w:spacing w:after="60" w:before="0"/>
            </w:pPr>
            <w:r>
              <w:rPr>
                <w:rFonts w:ascii="Arial" w:cs="Arial" w:eastAsia="Arial" w:hAnsi="Arial"/>
                <w:b/>
                <w:bCs/>
                <w:i w:val="false"/>
                <w:iCs w:val="false"/>
                <w:caps w:val="false"/>
                <w:color w:val="1E293B"/>
                <w:sz w:val="22"/>
                <w:szCs w:val="22"/>
              </w:rPr>
              <w:t xml:space="preserve">SAR Fusion for Rainy-Season Coverage</w:t>
            </w:r>
          </w:p>
          <w:p>
            <w:pPr>
              <w:spacing w:after="80" w:before="0"/>
            </w:pPr>
            <w:r>
              <w:rPr>
                <w:rFonts w:ascii="Garamond" w:cs="Garamond" w:eastAsia="Garamond" w:hAnsi="Garamond"/>
                <w:b w:val="false"/>
                <w:bCs w:val="false"/>
                <w:i w:val="false"/>
                <w:iCs w:val="false"/>
                <w:caps w:val="false"/>
                <w:color w:val="64748B"/>
                <w:sz w:val="20"/>
                <w:szCs w:val="20"/>
              </w:rPr>
              <w:t xml:space="preserve">When optical tile quality falls below QA threshold, Sentinel-1 provides the primary change signal. A dedicated SAR change-detection model operates on VV, VH, and VH/VV ratio channels. SAR detections carry lower prior confidence than optical detections and are always flagged for human verification, extending effective coverage through the October–April wet season.</w:t>
            </w:r>
          </w:p>
          <w:p>
            <w:pPr>
              <w:spacing w:after="0" w:before="0"/>
            </w:pPr>
            <w:r>
              <w:rPr>
                <w:rFonts w:ascii="Arial" w:cs="Arial" w:eastAsia="Arial" w:hAnsi="Arial"/>
                <w:b/>
                <w:bCs/>
                <w:i w:val="false"/>
                <w:iCs w:val="false"/>
                <w:caps w:val="false"/>
                <w:color w:val="2D6A4F"/>
                <w:sz w:val="17"/>
                <w:szCs w:val="17"/>
              </w:rPr>
              <w:t xml:space="preserve">Sentinel-1 SAR</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VV + VH</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rainy season</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cloud-independent</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2D6A4F" w:sz="4"/>
              <w:left w:val="single" w:color="2D6A4F" w:sz="4"/>
              <w:bottom w:val="single" w:color="CBD5E1" w:sz="1"/>
              <w:right w:val="single" w:color="CBD5E1" w:sz="1"/>
            </w:tcBorders>
            <w:shd w:fill="1B4332" w:val="clear"/>
            <w:tcMar>
              <w:top w:type="dxa" w:w="160"/>
              <w:left w:type="dxa" w:w="160"/>
              <w:bottom w:type="dxa" w:w="160"/>
              <w:right w:type="dxa" w:w="160"/>
            </w:tcMar>
            <w:vAlign w:val="center"/>
          </w:tcPr>
          <w:p>
            <w:pPr>
              <w:jc w:val="center"/>
            </w:pPr>
            <w:r>
              <w:rPr>
                <w:rFonts w:ascii="Arial" w:cs="Arial" w:eastAsia="Arial" w:hAnsi="Arial"/>
                <w:b/>
                <w:bCs/>
                <w:i w:val="false"/>
                <w:iCs w:val="false"/>
                <w:caps/>
                <w:color w:val="FFFFFF"/>
                <w:sz w:val="18"/>
                <w:szCs w:val="18"/>
              </w:rPr>
              <w:t xml:space="preserve">M·05</w:t>
            </w:r>
          </w:p>
          <w:p>
            <w:pPr>
              <w:spacing w:before="40"/>
              <w:jc w:val="center"/>
            </w:pPr>
            <w:r>
              <w:rPr>
                <w:rFonts w:ascii="Arial" w:cs="Arial" w:eastAsia="Arial" w:hAnsi="Arial"/>
                <w:b w:val="false"/>
                <w:bCs w:val="false"/>
                <w:i w:val="false"/>
                <w:iCs w:val="false"/>
                <w:caps w:val="false"/>
                <w:color w:val="D8F3DC"/>
                <w:sz w:val="16"/>
                <w:szCs w:val="16"/>
              </w:rPr>
              <w:t xml:space="preserve">Geospatial</w:t>
            </w:r>
          </w:p>
        </w:tc>
        <w:tc>
          <w:tcPr>
            <w:tcW w:type="dxa" w:w="8160"/>
            <w:tcBorders>
              <w:top w:val="single" w:color="CBD5E1" w:sz="1"/>
              <w:left w:val="single" w:color="CBD5E1" w:sz="1"/>
              <w:bottom w:val="single" w:color="CBD5E1" w:sz="1"/>
              <w:right w:val="single" w:color="CBD5E1" w:sz="1"/>
            </w:tcBorders>
            <w:shd w:fill="F8FAFC" w:val="clear"/>
            <w:tcMar>
              <w:top w:type="dxa" w:w="160"/>
              <w:left w:type="dxa" w:w="240"/>
              <w:bottom w:type="dxa" w:w="160"/>
              <w:right w:type="dxa" w:w="200"/>
            </w:tcMar>
          </w:tcPr>
          <w:p>
            <w:pPr>
              <w:spacing w:after="60" w:before="0"/>
            </w:pPr>
            <w:r>
              <w:rPr>
                <w:rFonts w:ascii="Arial" w:cs="Arial" w:eastAsia="Arial" w:hAnsi="Arial"/>
                <w:b/>
                <w:bCs/>
                <w:i w:val="false"/>
                <w:iCs w:val="false"/>
                <w:caps w:val="false"/>
                <w:color w:val="1E293B"/>
                <w:sz w:val="22"/>
                <w:szCs w:val="22"/>
              </w:rPr>
              <w:t xml:space="preserve">Geospatial Enrichment and Alert Routing</w:t>
            </w:r>
          </w:p>
          <w:p>
            <w:pPr>
              <w:spacing w:after="80" w:before="0"/>
            </w:pPr>
            <w:r>
              <w:rPr>
                <w:rFonts w:ascii="Garamond" w:cs="Garamond" w:eastAsia="Garamond" w:hAnsi="Garamond"/>
                <w:b w:val="false"/>
                <w:bCs w:val="false"/>
                <w:i w:val="false"/>
                <w:iCs w:val="false"/>
                <w:caps w:val="false"/>
                <w:color w:val="64748B"/>
                <w:sz w:val="20"/>
                <w:szCs w:val="20"/>
              </w:rPr>
              <w:t xml:space="preserve">Each candidate polygon is intersected with the geospatial reference layers in PostGIS. Detections within National Parks or Communal Reserves are immediately flagged high-priority; buffer zones and unlicensed concessions receive medium-priority escalation; licensed concessions are retained for trend monitoring. Each alert package includes detection geometry (GeoJSON), a verification tile link, confidence score, class, area estimate, and jurisdictional context.</w:t>
            </w:r>
          </w:p>
          <w:p>
            <w:pPr>
              <w:spacing w:after="0" w:before="0"/>
            </w:pPr>
            <w:r>
              <w:rPr>
                <w:rFonts w:ascii="Arial" w:cs="Arial" w:eastAsia="Arial" w:hAnsi="Arial"/>
                <w:b/>
                <w:bCs/>
                <w:i w:val="false"/>
                <w:iCs w:val="false"/>
                <w:caps w:val="false"/>
                <w:color w:val="2D6A4F"/>
                <w:sz w:val="17"/>
                <w:szCs w:val="17"/>
              </w:rPr>
              <w:t xml:space="preserve">PostGIS</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SERNANP polygons</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ANP / RC / RN</w:t>
            </w:r>
            <w:r>
              <w:rPr>
                <w:rFonts w:ascii="Arial" w:cs="Arial" w:eastAsia="Arial" w:hAnsi="Arial"/>
                <w:b w:val="false"/>
                <w:bCs w:val="false"/>
                <w:i w:val="false"/>
                <w:iCs w:val="false"/>
                <w:caps w:val="false"/>
                <w:color w:val="CBD5E1"/>
                <w:sz w:val="17"/>
                <w:szCs w:val="17"/>
              </w:rPr>
              <w:t xml:space="preserve">  ·  </w:t>
            </w:r>
            <w:r>
              <w:rPr>
                <w:rFonts w:ascii="Arial" w:cs="Arial" w:eastAsia="Arial" w:hAnsi="Arial"/>
                <w:b/>
                <w:bCs/>
                <w:i w:val="false"/>
                <w:iCs w:val="false"/>
                <w:caps w:val="false"/>
                <w:color w:val="2D6A4F"/>
                <w:sz w:val="17"/>
                <w:szCs w:val="17"/>
              </w:rPr>
              <w:t xml:space="preserve">priority routing</w:t>
            </w:r>
          </w:p>
        </w:tc>
      </w:tr>
    </w:tbl>
    <w:p>
      <w:pPr>
        <w:spacing w:after="0" w:before="80"/>
      </w:pPr>
    </w:p>
    <w:p>
      <w:pPr>
        <w:spacing w:after="0" w:before="400"/>
      </w:pPr>
      <w:r>
        <w:rPr>
          <w:rFonts w:ascii="Arial" w:cs="Arial" w:eastAsia="Arial" w:hAnsi="Arial"/>
          <w:b/>
          <w:bCs/>
          <w:i w:val="false"/>
          <w:iCs w:val="false"/>
          <w:caps w:val="false"/>
          <w:color w:val="2D6A4F"/>
          <w:sz w:val="17"/>
          <w:szCs w:val="17"/>
        </w:rPr>
        <w:t xml:space="preserve">§ 06  </w:t>
      </w:r>
      <w:r>
        <w:rPr>
          <w:rFonts w:ascii="Arial" w:cs="Arial" w:eastAsia="Arial" w:hAnsi="Arial"/>
          <w:b/>
          <w:bCs/>
          <w:i w:val="false"/>
          <w:iCs w:val="false"/>
          <w:caps/>
          <w:color w:val="1B4332"/>
          <w:spacing w:val="50"/>
          <w:sz w:val="17"/>
          <w:szCs w:val="17"/>
        </w:rPr>
        <w:t xml:space="preserve">RESULTS</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Results</w:t>
      </w:r>
    </w:p>
    <w:p>
      <w:pPr>
        <w:pStyle w:val="Heading2"/>
        <w:spacing w:after="80" w:before="260"/>
      </w:pPr>
      <w:r>
        <w:rPr>
          <w:rFonts w:ascii="Arial" w:cs="Arial" w:eastAsia="Arial" w:hAnsi="Arial"/>
          <w:b/>
          <w:bCs/>
          <w:i w:val="false"/>
          <w:iCs w:val="false"/>
          <w:caps w:val="false"/>
          <w:color w:val="1E293B"/>
          <w:sz w:val="26"/>
          <w:szCs w:val="26"/>
        </w:rPr>
        <w:t xml:space="preserve">6.1  Model Performance</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Table 1 presents per-class performance of the SegFormer-B3 segmentation model on the held-out test set (5,000 tiles, withheld from all training). The highest IoU scores are achieved for mine pit and tailings/pond — the classes with the most distinctive spectral signatures. The lowest IoU is observed for secondary growth, which overlaps spectrally with both intact forest and recent clearing at transition boundaries.</w:t>
      </w:r>
    </w:p>
    <w:p>
      <w:pPr>
        <w:spacing w:after="0" w:before="60"/>
      </w:pPr>
    </w:p>
    <w:p>
      <w:pPr>
        <w:spacing w:after="60" w:before="0"/>
        <w:jc w:val="center"/>
      </w:pPr>
      <w:r>
        <w:rPr>
          <w:rFonts w:ascii="Arial" w:cs="Arial" w:eastAsia="Arial" w:hAnsi="Arial"/>
          <w:b w:val="false"/>
          <w:bCs w:val="false"/>
          <w:i/>
          <w:iCs/>
          <w:caps w:val="false"/>
          <w:color w:val="64748B"/>
          <w:sz w:val="18"/>
          <w:szCs w:val="18"/>
        </w:rPr>
        <w:t xml:space="preserve">Table 1. Per-class performance — SegFormer-B3 segmentation model, held-out test set (n = 5,000 tiles)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540"/>
        <w:gridCol w:w="1540"/>
        <w:gridCol w:w="1540"/>
        <w:gridCol w:w="1540"/>
      </w:tblGrid>
      <w:tr>
        <w:trPr>
          <w:tblHeader/>
        </w:trPr>
        <w:tc>
          <w:tcPr>
            <w:tcW w:type="dxa" w:w="3200"/>
            <w:tcBorders>
              <w:top w:val="single" w:color="CBD5E1" w:sz="1"/>
              <w:left w:val="single" w:color="CBD5E1" w:sz="1"/>
              <w:bottom w:val="single" w:color="CBD5E1" w:sz="1"/>
              <w:right w:val="single" w:color="CBD5E1" w:sz="1"/>
            </w:tcBorders>
            <w:shd w:fill="1B4332" w:val="clear"/>
            <w:tcMar>
              <w:top w:type="dxa" w:w="100"/>
              <w:left w:type="dxa" w:w="160"/>
              <w:bottom w:type="dxa" w:w="100"/>
              <w:right w:type="dxa" w:w="120"/>
            </w:tcMar>
          </w:tcPr>
          <w:p>
            <w:pPr>
              <w:jc w:val="left"/>
            </w:pPr>
            <w:r>
              <w:rPr>
                <w:rFonts w:ascii="Arial" w:cs="Arial" w:eastAsia="Arial" w:hAnsi="Arial"/>
                <w:b/>
                <w:bCs/>
                <w:i w:val="false"/>
                <w:iCs w:val="false"/>
                <w:caps w:val="false"/>
                <w:color w:val="FFFFFF"/>
                <w:sz w:val="19"/>
                <w:szCs w:val="19"/>
              </w:rPr>
              <w:t xml:space="preserve">Class</w:t>
            </w:r>
          </w:p>
        </w:tc>
        <w:tc>
          <w:tcPr>
            <w:tcW w:type="dxa" w:w="1540"/>
            <w:tcBorders>
              <w:top w:val="single" w:color="CBD5E1" w:sz="1"/>
              <w:left w:val="single" w:color="CBD5E1" w:sz="1"/>
              <w:bottom w:val="single" w:color="CBD5E1" w:sz="1"/>
              <w:right w:val="single" w:color="CBD5E1" w:sz="1"/>
            </w:tcBorders>
            <w:shd w:fill="1B4332" w:val="clear"/>
            <w:tcMar>
              <w:top w:type="dxa" w:w="100"/>
              <w:left w:type="dxa" w:w="160"/>
              <w:bottom w:type="dxa" w:w="100"/>
              <w:right w:type="dxa" w:w="120"/>
            </w:tcMar>
          </w:tcPr>
          <w:p>
            <w:pPr>
              <w:jc w:val="center"/>
            </w:pPr>
            <w:r>
              <w:rPr>
                <w:rFonts w:ascii="Arial" w:cs="Arial" w:eastAsia="Arial" w:hAnsi="Arial"/>
                <w:b/>
                <w:bCs/>
                <w:i w:val="false"/>
                <w:iCs w:val="false"/>
                <w:caps w:val="false"/>
                <w:color w:val="FFFFFF"/>
                <w:sz w:val="19"/>
                <w:szCs w:val="19"/>
              </w:rPr>
              <w:t xml:space="preserve">IoU</w:t>
            </w:r>
          </w:p>
        </w:tc>
        <w:tc>
          <w:tcPr>
            <w:tcW w:type="dxa" w:w="1540"/>
            <w:tcBorders>
              <w:top w:val="single" w:color="CBD5E1" w:sz="1"/>
              <w:left w:val="single" w:color="CBD5E1" w:sz="1"/>
              <w:bottom w:val="single" w:color="CBD5E1" w:sz="1"/>
              <w:right w:val="single" w:color="CBD5E1" w:sz="1"/>
            </w:tcBorders>
            <w:shd w:fill="1B4332" w:val="clear"/>
            <w:tcMar>
              <w:top w:type="dxa" w:w="100"/>
              <w:left w:type="dxa" w:w="160"/>
              <w:bottom w:type="dxa" w:w="100"/>
              <w:right w:type="dxa" w:w="120"/>
            </w:tcMar>
          </w:tcPr>
          <w:p>
            <w:pPr>
              <w:jc w:val="center"/>
            </w:pPr>
            <w:r>
              <w:rPr>
                <w:rFonts w:ascii="Arial" w:cs="Arial" w:eastAsia="Arial" w:hAnsi="Arial"/>
                <w:b/>
                <w:bCs/>
                <w:i w:val="false"/>
                <w:iCs w:val="false"/>
                <w:caps w:val="false"/>
                <w:color w:val="FFFFFF"/>
                <w:sz w:val="19"/>
                <w:szCs w:val="19"/>
              </w:rPr>
              <w:t xml:space="preserve">Precision</w:t>
            </w:r>
          </w:p>
        </w:tc>
        <w:tc>
          <w:tcPr>
            <w:tcW w:type="dxa" w:w="1540"/>
            <w:tcBorders>
              <w:top w:val="single" w:color="CBD5E1" w:sz="1"/>
              <w:left w:val="single" w:color="CBD5E1" w:sz="1"/>
              <w:bottom w:val="single" w:color="CBD5E1" w:sz="1"/>
              <w:right w:val="single" w:color="CBD5E1" w:sz="1"/>
            </w:tcBorders>
            <w:shd w:fill="1B4332" w:val="clear"/>
            <w:tcMar>
              <w:top w:type="dxa" w:w="100"/>
              <w:left w:type="dxa" w:w="160"/>
              <w:bottom w:type="dxa" w:w="100"/>
              <w:right w:type="dxa" w:w="120"/>
            </w:tcMar>
          </w:tcPr>
          <w:p>
            <w:pPr>
              <w:jc w:val="center"/>
            </w:pPr>
            <w:r>
              <w:rPr>
                <w:rFonts w:ascii="Arial" w:cs="Arial" w:eastAsia="Arial" w:hAnsi="Arial"/>
                <w:b/>
                <w:bCs/>
                <w:i w:val="false"/>
                <w:iCs w:val="false"/>
                <w:caps w:val="false"/>
                <w:color w:val="FFFFFF"/>
                <w:sz w:val="19"/>
                <w:szCs w:val="19"/>
              </w:rPr>
              <w:t xml:space="preserve">Recall</w:t>
            </w:r>
          </w:p>
        </w:tc>
        <w:tc>
          <w:tcPr>
            <w:tcW w:type="dxa" w:w="1540"/>
            <w:tcBorders>
              <w:top w:val="single" w:color="CBD5E1" w:sz="1"/>
              <w:left w:val="single" w:color="CBD5E1" w:sz="1"/>
              <w:bottom w:val="single" w:color="CBD5E1" w:sz="1"/>
              <w:right w:val="single" w:color="CBD5E1" w:sz="1"/>
            </w:tcBorders>
            <w:shd w:fill="1B4332" w:val="clear"/>
            <w:tcMar>
              <w:top w:type="dxa" w:w="100"/>
              <w:left w:type="dxa" w:w="160"/>
              <w:bottom w:type="dxa" w:w="100"/>
              <w:right w:type="dxa" w:w="120"/>
            </w:tcMar>
          </w:tcPr>
          <w:p>
            <w:pPr>
              <w:jc w:val="center"/>
            </w:pPr>
            <w:r>
              <w:rPr>
                <w:rFonts w:ascii="Arial" w:cs="Arial" w:eastAsia="Arial" w:hAnsi="Arial"/>
                <w:b/>
                <w:bCs/>
                <w:i w:val="false"/>
                <w:iCs w:val="false"/>
                <w:caps w:val="false"/>
                <w:color w:val="FFFFFF"/>
                <w:sz w:val="19"/>
                <w:szCs w:val="19"/>
              </w:rPr>
              <w:t xml:space="preserve">F1</w:t>
            </w:r>
          </w:p>
        </w:tc>
      </w:tr>
      <w:tr>
        <w:tc>
          <w:tcPr>
            <w:tcW w:type="dxa" w:w="320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left"/>
            </w:pPr>
            <w:r>
              <w:rPr>
                <w:rFonts w:ascii="Garamond" w:cs="Garamond" w:eastAsia="Garamond" w:hAnsi="Garamond"/>
                <w:b w:val="false"/>
                <w:bCs w:val="false"/>
                <w:i w:val="false"/>
                <w:iCs w:val="false"/>
                <w:caps w:val="false"/>
                <w:color w:val="1E293B"/>
                <w:sz w:val="20"/>
                <w:szCs w:val="20"/>
              </w:rPr>
              <w:t xml:space="preserve">Intact Forest</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0.87</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0.91</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0.95</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0.93</w:t>
            </w:r>
          </w:p>
        </w:tc>
      </w:tr>
      <w:tr>
        <w:tc>
          <w:tcPr>
            <w:tcW w:type="dxa" w:w="320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left"/>
            </w:pPr>
            <w:r>
              <w:rPr>
                <w:rFonts w:ascii="Garamond" w:cs="Garamond" w:eastAsia="Garamond" w:hAnsi="Garamond"/>
                <w:b w:val="false"/>
                <w:bCs w:val="false"/>
                <w:i w:val="false"/>
                <w:iCs w:val="false"/>
                <w:caps w:val="false"/>
                <w:color w:val="1E293B"/>
                <w:sz w:val="20"/>
                <w:szCs w:val="20"/>
              </w:rPr>
              <w:t xml:space="preserve">Secondary Growth</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0.71</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0.74</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0.79</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0.76</w:t>
            </w:r>
          </w:p>
        </w:tc>
      </w:tr>
      <w:tr>
        <w:tc>
          <w:tcPr>
            <w:tcW w:type="dxa" w:w="320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left"/>
            </w:pPr>
            <w:r>
              <w:rPr>
                <w:rFonts w:ascii="Garamond" w:cs="Garamond" w:eastAsia="Garamond" w:hAnsi="Garamond"/>
                <w:b w:val="false"/>
                <w:bCs w:val="false"/>
                <w:i w:val="false"/>
                <w:iCs w:val="false"/>
                <w:caps w:val="false"/>
                <w:color w:val="1E293B"/>
                <w:sz w:val="20"/>
                <w:szCs w:val="20"/>
              </w:rPr>
              <w:t xml:space="preserve">Recent Clearing</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0.83</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0.88</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0.90</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0.89</w:t>
            </w:r>
          </w:p>
        </w:tc>
      </w:tr>
      <w:tr>
        <w:tc>
          <w:tcPr>
            <w:tcW w:type="dxa" w:w="320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left"/>
            </w:pPr>
            <w:r>
              <w:rPr>
                <w:rFonts w:ascii="Garamond" w:cs="Garamond" w:eastAsia="Garamond" w:hAnsi="Garamond"/>
                <w:b w:val="false"/>
                <w:bCs w:val="false"/>
                <w:i w:val="false"/>
                <w:iCs w:val="false"/>
                <w:caps w:val="false"/>
                <w:color w:val="1E293B"/>
                <w:sz w:val="20"/>
                <w:szCs w:val="20"/>
              </w:rPr>
              <w:t xml:space="preserve">Mine Pit</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0.85</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0.90</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0.93</w:t>
            </w:r>
          </w:p>
        </w:tc>
        <w:tc>
          <w:tcPr>
            <w:tcW w:type="dxa" w:w="1540"/>
            <w:tcBorders>
              <w:top w:val="single" w:color="CBD5E1" w:sz="1"/>
              <w:left w:val="single" w:color="CBD5E1" w:sz="1"/>
              <w:bottom w:val="single" w:color="CBD5E1" w:sz="1"/>
              <w:right w:val="single" w:color="CBD5E1" w:sz="1"/>
            </w:tcBorders>
            <w:shd w:fill="F8FAFC"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0.91</w:t>
            </w:r>
          </w:p>
        </w:tc>
      </w:tr>
      <w:tr>
        <w:tc>
          <w:tcPr>
            <w:tcW w:type="dxa" w:w="320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left"/>
            </w:pPr>
            <w:r>
              <w:rPr>
                <w:rFonts w:ascii="Garamond" w:cs="Garamond" w:eastAsia="Garamond" w:hAnsi="Garamond"/>
                <w:b w:val="false"/>
                <w:bCs w:val="false"/>
                <w:i w:val="false"/>
                <w:iCs w:val="false"/>
                <w:caps w:val="false"/>
                <w:color w:val="1E293B"/>
                <w:sz w:val="20"/>
                <w:szCs w:val="20"/>
              </w:rPr>
              <w:t xml:space="preserve">Tailings / Pond</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0.82</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0.87</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0.91</w:t>
            </w:r>
          </w:p>
        </w:tc>
        <w:tc>
          <w:tcPr>
            <w:tcW w:type="dxa" w:w="1540"/>
            <w:tcBorders>
              <w:top w:val="single" w:color="CBD5E1" w:sz="1"/>
              <w:left w:val="single" w:color="CBD5E1" w:sz="1"/>
              <w:bottom w:val="single" w:color="CBD5E1" w:sz="1"/>
              <w:right w:val="single" w:color="CBD5E1" w:sz="1"/>
            </w:tcBorders>
            <w:shd w:fill="FFFFFF" w:val="clear"/>
            <w:tcMar>
              <w:top w:type="dxa" w:w="90"/>
              <w:left w:type="dxa" w:w="160"/>
              <w:bottom w:type="dxa" w:w="90"/>
              <w:right w:type="dxa" w:w="120"/>
            </w:tcMar>
          </w:tcPr>
          <w:p>
            <w:pPr>
              <w:jc w:val="center"/>
            </w:pPr>
            <w:r>
              <w:rPr>
                <w:rFonts w:ascii="Arial" w:cs="Arial" w:eastAsia="Arial" w:hAnsi="Arial"/>
                <w:b w:val="false"/>
                <w:bCs w:val="false"/>
                <w:i w:val="false"/>
                <w:iCs w:val="false"/>
                <w:caps w:val="false"/>
                <w:color w:val="1E293B"/>
                <w:sz w:val="20"/>
                <w:szCs w:val="20"/>
              </w:rPr>
              <w:t xml:space="preserve">0.89</w:t>
            </w:r>
          </w:p>
        </w:tc>
      </w:tr>
      <w:tr>
        <w:tc>
          <w:tcPr>
            <w:tcW w:type="dxa" w:w="3200"/>
            <w:tcBorders>
              <w:top w:val="single" w:color="CBD5E1" w:sz="1"/>
              <w:left w:val="single" w:color="CBD5E1" w:sz="1"/>
              <w:bottom w:val="single" w:color="CBD5E1" w:sz="1"/>
              <w:right w:val="single" w:color="CBD5E1" w:sz="1"/>
            </w:tcBorders>
            <w:shd w:fill="D8F3DC" w:val="clear"/>
            <w:tcMar>
              <w:top w:type="dxa" w:w="90"/>
              <w:left w:type="dxa" w:w="160"/>
              <w:bottom w:type="dxa" w:w="90"/>
              <w:right w:type="dxa" w:w="120"/>
            </w:tcMar>
          </w:tcPr>
          <w:p>
            <w:pPr>
              <w:jc w:val="left"/>
            </w:pPr>
            <w:r>
              <w:rPr>
                <w:rFonts w:ascii="Garamond" w:cs="Garamond" w:eastAsia="Garamond" w:hAnsi="Garamond"/>
                <w:b/>
                <w:bCs/>
                <w:i w:val="false"/>
                <w:iCs w:val="false"/>
                <w:caps w:val="false"/>
                <w:color w:val="1E293B"/>
                <w:sz w:val="20"/>
                <w:szCs w:val="20"/>
              </w:rPr>
              <w:t xml:space="preserve">Mean (mIoU)</w:t>
            </w:r>
          </w:p>
        </w:tc>
        <w:tc>
          <w:tcPr>
            <w:tcW w:type="dxa" w:w="1540"/>
            <w:tcBorders>
              <w:top w:val="single" w:color="CBD5E1" w:sz="1"/>
              <w:left w:val="single" w:color="CBD5E1" w:sz="1"/>
              <w:bottom w:val="single" w:color="CBD5E1" w:sz="1"/>
              <w:right w:val="single" w:color="CBD5E1" w:sz="1"/>
            </w:tcBorders>
            <w:shd w:fill="D8F3DC" w:val="clear"/>
            <w:tcMar>
              <w:top w:type="dxa" w:w="90"/>
              <w:left w:type="dxa" w:w="160"/>
              <w:bottom w:type="dxa" w:w="90"/>
              <w:right w:type="dxa" w:w="120"/>
            </w:tcMar>
          </w:tcPr>
          <w:p>
            <w:pPr>
              <w:jc w:val="center"/>
            </w:pPr>
            <w:r>
              <w:rPr>
                <w:rFonts w:ascii="Arial" w:cs="Arial" w:eastAsia="Arial" w:hAnsi="Arial"/>
                <w:b/>
                <w:bCs/>
                <w:i w:val="false"/>
                <w:iCs w:val="false"/>
                <w:caps w:val="false"/>
                <w:color w:val="1E293B"/>
                <w:sz w:val="20"/>
                <w:szCs w:val="20"/>
              </w:rPr>
              <w:t xml:space="preserve">0.81</w:t>
            </w:r>
          </w:p>
        </w:tc>
        <w:tc>
          <w:tcPr>
            <w:tcW w:type="dxa" w:w="1540"/>
            <w:tcBorders>
              <w:top w:val="single" w:color="CBD5E1" w:sz="1"/>
              <w:left w:val="single" w:color="CBD5E1" w:sz="1"/>
              <w:bottom w:val="single" w:color="CBD5E1" w:sz="1"/>
              <w:right w:val="single" w:color="CBD5E1" w:sz="1"/>
            </w:tcBorders>
            <w:shd w:fill="D8F3DC" w:val="clear"/>
            <w:tcMar>
              <w:top w:type="dxa" w:w="90"/>
              <w:left w:type="dxa" w:w="160"/>
              <w:bottom w:type="dxa" w:w="90"/>
              <w:right w:type="dxa" w:w="120"/>
            </w:tcMar>
          </w:tcPr>
          <w:p>
            <w:pPr>
              <w:jc w:val="center"/>
            </w:pPr>
            <w:r>
              <w:rPr>
                <w:rFonts w:ascii="Arial" w:cs="Arial" w:eastAsia="Arial" w:hAnsi="Arial"/>
                <w:b/>
                <w:bCs/>
                <w:i w:val="false"/>
                <w:iCs w:val="false"/>
                <w:caps w:val="false"/>
                <w:color w:val="1E293B"/>
                <w:sz w:val="20"/>
                <w:szCs w:val="20"/>
              </w:rPr>
              <w:t xml:space="preserve">0.86</w:t>
            </w:r>
          </w:p>
        </w:tc>
        <w:tc>
          <w:tcPr>
            <w:tcW w:type="dxa" w:w="1540"/>
            <w:tcBorders>
              <w:top w:val="single" w:color="CBD5E1" w:sz="1"/>
              <w:left w:val="single" w:color="CBD5E1" w:sz="1"/>
              <w:bottom w:val="single" w:color="CBD5E1" w:sz="1"/>
              <w:right w:val="single" w:color="CBD5E1" w:sz="1"/>
            </w:tcBorders>
            <w:shd w:fill="D8F3DC" w:val="clear"/>
            <w:tcMar>
              <w:top w:type="dxa" w:w="90"/>
              <w:left w:type="dxa" w:w="160"/>
              <w:bottom w:type="dxa" w:w="90"/>
              <w:right w:type="dxa" w:w="120"/>
            </w:tcMar>
          </w:tcPr>
          <w:p>
            <w:pPr>
              <w:jc w:val="center"/>
            </w:pPr>
            <w:r>
              <w:rPr>
                <w:rFonts w:ascii="Arial" w:cs="Arial" w:eastAsia="Arial" w:hAnsi="Arial"/>
                <w:b/>
                <w:bCs/>
                <w:i w:val="false"/>
                <w:iCs w:val="false"/>
                <w:caps w:val="false"/>
                <w:color w:val="1E293B"/>
                <w:sz w:val="20"/>
                <w:szCs w:val="20"/>
              </w:rPr>
              <w:t xml:space="preserve">0.90</w:t>
            </w:r>
          </w:p>
        </w:tc>
        <w:tc>
          <w:tcPr>
            <w:tcW w:type="dxa" w:w="1540"/>
            <w:tcBorders>
              <w:top w:val="single" w:color="CBD5E1" w:sz="1"/>
              <w:left w:val="single" w:color="CBD5E1" w:sz="1"/>
              <w:bottom w:val="single" w:color="CBD5E1" w:sz="1"/>
              <w:right w:val="single" w:color="CBD5E1" w:sz="1"/>
            </w:tcBorders>
            <w:shd w:fill="D8F3DC" w:val="clear"/>
            <w:tcMar>
              <w:top w:type="dxa" w:w="90"/>
              <w:left w:type="dxa" w:w="160"/>
              <w:bottom w:type="dxa" w:w="90"/>
              <w:right w:type="dxa" w:w="120"/>
            </w:tcMar>
          </w:tcPr>
          <w:p>
            <w:pPr>
              <w:jc w:val="center"/>
            </w:pPr>
            <w:r>
              <w:rPr>
                <w:rFonts w:ascii="Arial" w:cs="Arial" w:eastAsia="Arial" w:hAnsi="Arial"/>
                <w:b/>
                <w:bCs/>
                <w:i w:val="false"/>
                <w:iCs w:val="false"/>
                <w:caps w:val="false"/>
                <w:color w:val="1E293B"/>
                <w:sz w:val="20"/>
                <w:szCs w:val="20"/>
              </w:rPr>
              <w:t xml:space="preserve">0.88</w:t>
            </w:r>
          </w:p>
        </w:tc>
      </w:tr>
    </w:tbl>
    <w:p>
      <w:pPr>
        <w:spacing w:after="0" w:before="80"/>
      </w:pP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Siamese change-detection model achieves overall precision of 0.93 and recall of 0.87 on a test set of 1,200 temporal tile pairs with pixel-level ground truth derived from PlanetScope verification imagery. False positives are dominated by partially cloud-masked pixels (41%) and intra-seasonal water body fluctuation in floodplain areas (28%). The seasonal baseline suppression module reduced false positives from the latter category by approximately 38% compared to the naive differencing baseline.</w:t>
      </w:r>
    </w:p>
    <w:p>
      <w:pPr>
        <w:pStyle w:val="Heading2"/>
        <w:spacing w:after="80" w:before="260"/>
      </w:pPr>
      <w:r>
        <w:rPr>
          <w:rFonts w:ascii="Arial" w:cs="Arial" w:eastAsia="Arial" w:hAnsi="Arial"/>
          <w:b/>
          <w:bCs/>
          <w:i w:val="false"/>
          <w:iCs w:val="false"/>
          <w:caps w:val="false"/>
          <w:color w:val="1E293B"/>
          <w:sz w:val="26"/>
          <w:szCs w:val="26"/>
        </w:rPr>
        <w:t xml:space="preserve">6.2  Operational Statistics — 2025</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1B4332" w:sz="6"/>
              <w:left w:val="single" w:color="CBD5E1" w:sz="1"/>
              <w:bottom w:val="single" w:color="CBD5E1" w:sz="1"/>
              <w:right w:val="single" w:color="CBD5E1" w:sz="1"/>
            </w:tcBorders>
            <w:shd w:fill="FFFFFF" w:val="clear"/>
            <w:tcMar>
              <w:top w:type="dxa" w:w="200"/>
              <w:left w:type="dxa" w:w="200"/>
              <w:bottom w:type="dxa" w:w="200"/>
              <w:right w:type="dxa" w:w="200"/>
            </w:tcMar>
            <w:vAlign w:val="center"/>
          </w:tcPr>
          <w:p>
            <w:pPr>
              <w:jc w:val="center"/>
            </w:pPr>
            <w:r>
              <w:rPr>
                <w:rFonts w:ascii="Arial" w:cs="Arial" w:eastAsia="Arial" w:hAnsi="Arial"/>
                <w:b/>
                <w:bCs/>
                <w:i w:val="false"/>
                <w:iCs w:val="false"/>
                <w:caps w:val="false"/>
                <w:color w:val="1B4332"/>
                <w:sz w:val="52"/>
                <w:szCs w:val="52"/>
              </w:rPr>
              <w:t xml:space="preserve">14,210</w:t>
            </w:r>
          </w:p>
          <w:p>
            <w:pPr>
              <w:spacing w:after="20" w:before="0"/>
              <w:jc w:val="center"/>
            </w:pPr>
            <w:r>
              <w:rPr>
                <w:rFonts w:ascii="Arial" w:cs="Arial" w:eastAsia="Arial" w:hAnsi="Arial"/>
                <w:b w:val="false"/>
                <w:bCs w:val="false"/>
                <w:i w:val="false"/>
                <w:iCs w:val="false"/>
                <w:caps w:val="false"/>
                <w:color w:val="2D6A4F"/>
                <w:sz w:val="18"/>
                <w:szCs w:val="18"/>
              </w:rPr>
              <w:t xml:space="preserve">total</w:t>
            </w:r>
          </w:p>
          <w:p>
            <w:pPr>
              <w:spacing w:before="40"/>
              <w:jc w:val="center"/>
            </w:pPr>
            <w:r>
              <w:rPr>
                <w:rFonts w:ascii="Arial" w:cs="Arial" w:eastAsia="Arial" w:hAnsi="Arial"/>
                <w:b w:val="false"/>
                <w:bCs w:val="false"/>
                <w:i w:val="false"/>
                <w:iCs w:val="false"/>
                <w:caps w:val="false"/>
                <w:color w:val="64748B"/>
                <w:sz w:val="18"/>
                <w:szCs w:val="18"/>
              </w:rPr>
              <w:t xml:space="preserve">Alerts Delivered</w:t>
            </w:r>
          </w:p>
        </w:tc>
        <w:tc>
          <w:tcPr>
            <w:tcW w:type="dxa" w:w="2340"/>
            <w:tcBorders>
              <w:top w:val="single" w:color="1B4332" w:sz="6"/>
              <w:left w:val="single" w:color="CBD5E1" w:sz="1"/>
              <w:bottom w:val="single" w:color="CBD5E1" w:sz="1"/>
              <w:right w:val="single" w:color="CBD5E1" w:sz="1"/>
            </w:tcBorders>
            <w:shd w:fill="F8FAFC" w:val="clear"/>
            <w:tcMar>
              <w:top w:type="dxa" w:w="200"/>
              <w:left w:type="dxa" w:w="200"/>
              <w:bottom w:type="dxa" w:w="200"/>
              <w:right w:type="dxa" w:w="200"/>
            </w:tcMar>
            <w:vAlign w:val="center"/>
          </w:tcPr>
          <w:p>
            <w:pPr>
              <w:jc w:val="center"/>
            </w:pPr>
            <w:r>
              <w:rPr>
                <w:rFonts w:ascii="Arial" w:cs="Arial" w:eastAsia="Arial" w:hAnsi="Arial"/>
                <w:b/>
                <w:bCs/>
                <w:i w:val="false"/>
                <w:iCs w:val="false"/>
                <w:caps w:val="false"/>
                <w:color w:val="1B4332"/>
                <w:sz w:val="52"/>
                <w:szCs w:val="52"/>
              </w:rPr>
              <w:t xml:space="preserve">6.4 hrs</w:t>
            </w:r>
          </w:p>
          <w:p>
            <w:pPr>
              <w:spacing w:after="20" w:before="0"/>
              <w:jc w:val="center"/>
            </w:pPr>
            <w:r>
              <w:rPr>
                <w:rFonts w:ascii="Arial" w:cs="Arial" w:eastAsia="Arial" w:hAnsi="Arial"/>
                <w:b w:val="false"/>
                <w:bCs w:val="false"/>
                <w:i w:val="false"/>
                <w:iCs w:val="false"/>
                <w:caps w:val="false"/>
                <w:color w:val="2D6A4F"/>
                <w:sz w:val="18"/>
                <w:szCs w:val="18"/>
              </w:rPr>
              <w:t xml:space="preserve">median latency</w:t>
            </w:r>
          </w:p>
          <w:p>
            <w:pPr>
              <w:spacing w:before="40"/>
              <w:jc w:val="center"/>
            </w:pPr>
            <w:r>
              <w:rPr>
                <w:rFonts w:ascii="Arial" w:cs="Arial" w:eastAsia="Arial" w:hAnsi="Arial"/>
                <w:b w:val="false"/>
                <w:bCs w:val="false"/>
                <w:i w:val="false"/>
                <w:iCs w:val="false"/>
                <w:caps w:val="false"/>
                <w:color w:val="64748B"/>
                <w:sz w:val="18"/>
                <w:szCs w:val="18"/>
              </w:rPr>
              <w:t xml:space="preserve">Detect-to-Alert</w:t>
            </w:r>
          </w:p>
        </w:tc>
        <w:tc>
          <w:tcPr>
            <w:tcW w:type="dxa" w:w="2340"/>
            <w:tcBorders>
              <w:top w:val="single" w:color="1B4332" w:sz="6"/>
              <w:left w:val="single" w:color="CBD5E1" w:sz="1"/>
              <w:bottom w:val="single" w:color="CBD5E1" w:sz="1"/>
              <w:right w:val="single" w:color="CBD5E1" w:sz="1"/>
            </w:tcBorders>
            <w:shd w:fill="FFFFFF" w:val="clear"/>
            <w:tcMar>
              <w:top w:type="dxa" w:w="200"/>
              <w:left w:type="dxa" w:w="200"/>
              <w:bottom w:type="dxa" w:w="200"/>
              <w:right w:type="dxa" w:w="200"/>
            </w:tcMar>
            <w:vAlign w:val="center"/>
          </w:tcPr>
          <w:p>
            <w:pPr>
              <w:jc w:val="center"/>
            </w:pPr>
            <w:r>
              <w:rPr>
                <w:rFonts w:ascii="Arial" w:cs="Arial" w:eastAsia="Arial" w:hAnsi="Arial"/>
                <w:b/>
                <w:bCs/>
                <w:i w:val="false"/>
                <w:iCs w:val="false"/>
                <w:caps w:val="false"/>
                <w:color w:val="1B4332"/>
                <w:sz w:val="52"/>
                <w:szCs w:val="52"/>
              </w:rPr>
              <w:t xml:space="preserve">85.3k</w:t>
            </w:r>
          </w:p>
          <w:p>
            <w:pPr>
              <w:spacing w:after="20" w:before="0"/>
              <w:jc w:val="center"/>
            </w:pPr>
            <w:r>
              <w:rPr>
                <w:rFonts w:ascii="Arial" w:cs="Arial" w:eastAsia="Arial" w:hAnsi="Arial"/>
                <w:b w:val="false"/>
                <w:bCs w:val="false"/>
                <w:i w:val="false"/>
                <w:iCs w:val="false"/>
                <w:caps w:val="false"/>
                <w:color w:val="2D6A4F"/>
                <w:sz w:val="18"/>
                <w:szCs w:val="18"/>
              </w:rPr>
              <w:t xml:space="preserve">km²</w:t>
            </w:r>
          </w:p>
          <w:p>
            <w:pPr>
              <w:spacing w:before="40"/>
              <w:jc w:val="center"/>
            </w:pPr>
            <w:r>
              <w:rPr>
                <w:rFonts w:ascii="Arial" w:cs="Arial" w:eastAsia="Arial" w:hAnsi="Arial"/>
                <w:b w:val="false"/>
                <w:bCs w:val="false"/>
                <w:i w:val="false"/>
                <w:iCs w:val="false"/>
                <w:caps w:val="false"/>
                <w:color w:val="64748B"/>
                <w:sz w:val="18"/>
                <w:szCs w:val="18"/>
              </w:rPr>
              <w:t xml:space="preserve">Monitored Area</w:t>
            </w:r>
          </w:p>
        </w:tc>
        <w:tc>
          <w:tcPr>
            <w:tcW w:type="dxa" w:w="2340"/>
            <w:tcBorders>
              <w:top w:val="single" w:color="1B4332" w:sz="6"/>
              <w:left w:val="single" w:color="CBD5E1" w:sz="1"/>
              <w:bottom w:val="single" w:color="CBD5E1" w:sz="1"/>
              <w:right w:val="single" w:color="CBD5E1" w:sz="1"/>
            </w:tcBorders>
            <w:shd w:fill="F8FAFC" w:val="clear"/>
            <w:tcMar>
              <w:top w:type="dxa" w:w="200"/>
              <w:left w:type="dxa" w:w="200"/>
              <w:bottom w:type="dxa" w:w="200"/>
              <w:right w:type="dxa" w:w="200"/>
            </w:tcMar>
            <w:vAlign w:val="center"/>
          </w:tcPr>
          <w:p>
            <w:pPr>
              <w:jc w:val="center"/>
            </w:pPr>
            <w:r>
              <w:rPr>
                <w:rFonts w:ascii="Arial" w:cs="Arial" w:eastAsia="Arial" w:hAnsi="Arial"/>
                <w:b/>
                <w:bCs/>
                <w:i w:val="false"/>
                <w:iCs w:val="false"/>
                <w:caps w:val="false"/>
                <w:color w:val="1B4332"/>
                <w:sz w:val="52"/>
                <w:szCs w:val="52"/>
              </w:rPr>
              <w:t xml:space="preserve">11</w:t>
            </w:r>
          </w:p>
          <w:p>
            <w:pPr>
              <w:spacing w:after="20" w:before="0"/>
              <w:jc w:val="center"/>
            </w:pPr>
            <w:r>
              <w:rPr>
                <w:rFonts w:ascii="Arial" w:cs="Arial" w:eastAsia="Arial" w:hAnsi="Arial"/>
                <w:b w:val="false"/>
                <w:bCs w:val="false"/>
                <w:i w:val="false"/>
                <w:iCs w:val="false"/>
                <w:caps w:val="false"/>
                <w:color w:val="2D6A4F"/>
                <w:sz w:val="18"/>
                <w:szCs w:val="18"/>
              </w:rPr>
              <w:t xml:space="preserve">organizations</w:t>
            </w:r>
          </w:p>
          <w:p>
            <w:pPr>
              <w:spacing w:before="40"/>
              <w:jc w:val="center"/>
            </w:pPr>
            <w:r>
              <w:rPr>
                <w:rFonts w:ascii="Arial" w:cs="Arial" w:eastAsia="Arial" w:hAnsi="Arial"/>
                <w:b w:val="false"/>
                <w:bCs w:val="false"/>
                <w:i w:val="false"/>
                <w:iCs w:val="false"/>
                <w:caps w:val="false"/>
                <w:color w:val="64748B"/>
                <w:sz w:val="18"/>
                <w:szCs w:val="18"/>
              </w:rPr>
              <w:t xml:space="preserve">Active Partners</w:t>
            </w:r>
          </w:p>
        </w:tc>
      </w:tr>
    </w:tbl>
    <w:p>
      <w:pPr>
        <w:spacing w:after="0" w:before="100"/>
      </w:pP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Of the 14,210 alerts delivered during 2025, approximately 29% were classified high-priority (detections within strictly protected areas), 44% medium-priority (buffer zones and unlicensed concessions), and 27% monitoring-only (licensed concessions). The three most frequent detection classes were recent clearing (38%), mine pit (31%), and unauthorized road construction (21%).</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median detect-to-alert latency of 6.4 hours reflects: Sentinel-2 acquisition-to-publication delay (~3 hrs); tile download and preprocessing (~18 min per full tile); model inference (~8 min per tile on a 4-GPU inference server); PostGIS enrichment (~2 min); and alert formatting and delivery (~5 min). During the rainy season, SAR fallback extends median latency to approximately 9.1 hours.</w:t>
      </w:r>
    </w:p>
    <w:p>
      <w:pPr>
        <w:pStyle w:val="Heading2"/>
        <w:spacing w:after="80" w:before="260"/>
      </w:pPr>
      <w:r>
        <w:rPr>
          <w:rFonts w:ascii="Arial" w:cs="Arial" w:eastAsia="Arial" w:hAnsi="Arial"/>
          <w:b/>
          <w:bCs/>
          <w:i w:val="false"/>
          <w:iCs w:val="false"/>
          <w:caps w:val="false"/>
          <w:color w:val="1E293B"/>
          <w:sz w:val="26"/>
          <w:szCs w:val="26"/>
        </w:rPr>
        <w:t xml:space="preserve">6.3  Human-in-the-Loop Feedback</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Partner analysts can confirm or dismiss each alert through a one-click verification interface. During 2025, 3,847 alerts (27% of total delivered) received explicit analyst feedback: 2,891 confirmed (75%) and 956 dismissed (25%). Dismissed alerts were attributed to: cloud / haze artifacts (41%), seasonal water body variation (28%), sensor calibration issues at tile boundaries (19%), and legitimate natural disturbance (12%).</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All analyst labels are incorporated into the next training cycle, which runs on a 90-day rolling basis. Preliminary analysis suggests each cycle has improved overall model precision by approximately 1.5 percentage points relative to the pre-feedback baseline.</w:t>
      </w:r>
    </w:p>
    <w:p>
      <w:pPr>
        <w:spacing w:after="0" w:before="400"/>
      </w:pPr>
      <w:r>
        <w:rPr>
          <w:rFonts w:ascii="Arial" w:cs="Arial" w:eastAsia="Arial" w:hAnsi="Arial"/>
          <w:b/>
          <w:bCs/>
          <w:i w:val="false"/>
          <w:iCs w:val="false"/>
          <w:caps w:val="false"/>
          <w:color w:val="2D6A4F"/>
          <w:sz w:val="17"/>
          <w:szCs w:val="17"/>
        </w:rPr>
        <w:t xml:space="preserve">§ 07  </w:t>
      </w:r>
      <w:r>
        <w:rPr>
          <w:rFonts w:ascii="Arial" w:cs="Arial" w:eastAsia="Arial" w:hAnsi="Arial"/>
          <w:b/>
          <w:bCs/>
          <w:i w:val="false"/>
          <w:iCs w:val="false"/>
          <w:caps/>
          <w:color w:val="1B4332"/>
          <w:spacing w:val="50"/>
          <w:sz w:val="17"/>
          <w:szCs w:val="17"/>
        </w:rPr>
        <w:t xml:space="preserve">DISCUSSION</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Discussion</w:t>
      </w:r>
    </w:p>
    <w:p>
      <w:pPr>
        <w:pStyle w:val="Heading2"/>
        <w:spacing w:after="80" w:before="260"/>
      </w:pPr>
      <w:r>
        <w:rPr>
          <w:rFonts w:ascii="Arial" w:cs="Arial" w:eastAsia="Arial" w:hAnsi="Arial"/>
          <w:b/>
          <w:bCs/>
          <w:i w:val="false"/>
          <w:iCs w:val="false"/>
          <w:caps w:val="false"/>
          <w:color w:val="1E293B"/>
          <w:sz w:val="26"/>
          <w:szCs w:val="26"/>
        </w:rPr>
        <w:t xml:space="preserve">7.1  Operational Lessons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most significant operational challenge has been managing cloud cover during the wet season. Despite the SAR fallback module, periods in January and February see the proportion of high-confidence optical detections fall substantially, and SAR-only alerts require more intensive human review. Improving the SAR segmentation model and exploring commercial SAR constellations (ICEYE, Capella Space) is a priority for the next development cycle.</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geospatial enrichment layer has proven highly effective at reducing alert fatigue. Early in deployment, a high proportion of alerts were for activity on licensed concessions — technically legal but visually indistinguishable to an automated system. Integrating the MINEM concession layer and routing licensed-area alerts to a separate monitoring queue reduced unsolicited licensed-area alerts reaching the primary partner inbox by 94%.</w:t>
      </w:r>
    </w:p>
    <w:p>
      <w:pPr>
        <w:pStyle w:val="Heading2"/>
        <w:spacing w:after="80" w:before="260"/>
      </w:pPr>
      <w:r>
        <w:rPr>
          <w:rFonts w:ascii="Arial" w:cs="Arial" w:eastAsia="Arial" w:hAnsi="Arial"/>
          <w:b/>
          <w:bCs/>
          <w:i w:val="false"/>
          <w:iCs w:val="false"/>
          <w:caps w:val="false"/>
          <w:color w:val="1E293B"/>
          <w:sz w:val="26"/>
          <w:szCs w:val="26"/>
        </w:rPr>
        <w:t xml:space="preserve">7.2  Limitations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Area estimation uncertainty: polygon area estimates from 10-meter Sentinel-2 imagery carry an inherent uncertainty of approximately ±15% for features smaller than 5 hectares, due to the mixed-pixel problem at parcel boundaries. Users should treat small-detection area estimates as order-of-magnitude figures. Class confusion at secondary-growth / intact-forest boundaries remains the most challenging aspect of the segmentation task, and secondary growth labels should be treated with greater caution than mine pit or clearing labels.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SAR temporal ambiguity: SAR-derived detections during the rainy season cannot always be accurately dated to within a single Sentinel-1 acquisition cycle, because backscatter magnitude depends on soil moisture and standing water independently of deforestation events. Rainy-season SAR detections are therefore delivered with a wider temporal uncertainty window and require higher analyst scrutiny before operational use.</w:t>
      </w:r>
    </w:p>
    <w:p>
      <w:pPr>
        <w:pStyle w:val="Heading2"/>
        <w:spacing w:after="80" w:before="260"/>
      </w:pPr>
      <w:r>
        <w:rPr>
          <w:rFonts w:ascii="Arial" w:cs="Arial" w:eastAsia="Arial" w:hAnsi="Arial"/>
          <w:b/>
          <w:bCs/>
          <w:i w:val="false"/>
          <w:iCs w:val="false"/>
          <w:caps w:val="false"/>
          <w:color w:val="1E293B"/>
          <w:sz w:val="26"/>
          <w:szCs w:val="26"/>
        </w:rPr>
        <w:t xml:space="preserve">7.3  Future Directions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Several extensions are under active development: a dedicated road-incursion segmentation model trained on annotated logging road expansions; a temporal trend analysis module to identify mining sites with persistent multi-year expansion trajectories; and exploration of hyperspectral data from the EMIT mission to improve discrimination of tailings pond chemistry and potentially identify mercury contamination signatures from orbit.</w:t>
      </w:r>
    </w:p>
    <w:p>
      <w:pPr>
        <w:spacing w:after="0" w:before="400"/>
      </w:pPr>
      <w:r>
        <w:rPr>
          <w:rFonts w:ascii="Arial" w:cs="Arial" w:eastAsia="Arial" w:hAnsi="Arial"/>
          <w:b/>
          <w:bCs/>
          <w:i w:val="false"/>
          <w:iCs w:val="false"/>
          <w:caps w:val="false"/>
          <w:color w:val="2D6A4F"/>
          <w:sz w:val="17"/>
          <w:szCs w:val="17"/>
        </w:rPr>
        <w:t xml:space="preserve">§ 08  </w:t>
      </w:r>
      <w:r>
        <w:rPr>
          <w:rFonts w:ascii="Arial" w:cs="Arial" w:eastAsia="Arial" w:hAnsi="Arial"/>
          <w:b/>
          <w:bCs/>
          <w:i w:val="false"/>
          <w:iCs w:val="false"/>
          <w:caps/>
          <w:color w:val="1B4332"/>
          <w:spacing w:val="50"/>
          <w:sz w:val="17"/>
          <w:szCs w:val="17"/>
        </w:rPr>
        <w:t xml:space="preserve">PARTNERSHIPS AND DATA ACCESS</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Partnerships and Data Access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effectiveness of any near-real-time monitoring system depends entirely on whether its outputs reach people with the authority and capacity to act on them. The Canopy Vision Lab partner network is structured around three actor types: conservation field organizations, government enforcement agencies, and academic research groups.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Conservation partner organizations receive prioritized alert feeds and access to the verification dashboard. In return, they contribute ground-truth labels from field missions, imagery interpretation expertise, and — critically — verified negative examples: areas that appear disturbed from orbit but have not been subject to illegal activity. Government partners, including SERNANP and specialized environmental crime units within the Public Prosecutor's office, receive alert packages formatted to meet evidentiary standards. The lab does not provide legal interpretation of its outputs; that determination is made by human analysts within the relevant institutions.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Academic collaborators receive access to non-commercial research licenses for the training label datasets, model weights, and GeoJSON archives of historical alerts. All datasets, model weights, and tooling produced by the lab are made available under a non-commercial research license, with the intent of enabling adaptation and replication by groups working on similar problems in other countries.</w:t>
      </w:r>
    </w:p>
    <w:p>
      <w:pPr>
        <w:spacing w:after="0" w:before="400"/>
      </w:pPr>
      <w:r>
        <w:rPr>
          <w:rFonts w:ascii="Arial" w:cs="Arial" w:eastAsia="Arial" w:hAnsi="Arial"/>
          <w:b/>
          <w:bCs/>
          <w:i w:val="false"/>
          <w:iCs w:val="false"/>
          <w:caps w:val="false"/>
          <w:color w:val="2D6A4F"/>
          <w:sz w:val="17"/>
          <w:szCs w:val="17"/>
        </w:rPr>
        <w:t xml:space="preserve">§ 09  </w:t>
      </w:r>
      <w:r>
        <w:rPr>
          <w:rFonts w:ascii="Arial" w:cs="Arial" w:eastAsia="Arial" w:hAnsi="Arial"/>
          <w:b/>
          <w:bCs/>
          <w:i w:val="false"/>
          <w:iCs w:val="false"/>
          <w:caps/>
          <w:color w:val="1B4332"/>
          <w:spacing w:val="50"/>
          <w:sz w:val="17"/>
          <w:szCs w:val="17"/>
        </w:rPr>
        <w:t xml:space="preserve">CONCLUSION</w:t>
      </w:r>
    </w:p>
    <w:p>
      <w:pPr>
        <w:pStyle w:val="Heading1"/>
        <w:pBdr>
          <w:bottom w:val="single" w:color="1B4332" w:sz="12" w:space="4"/>
        </w:pBdr>
        <w:spacing w:after="200" w:before="40"/>
      </w:pPr>
      <w:r>
        <w:rPr>
          <w:rFonts w:ascii="Arial" w:cs="Arial" w:eastAsia="Arial" w:hAnsi="Arial"/>
          <w:b/>
          <w:bCs/>
          <w:i w:val="false"/>
          <w:iCs w:val="false"/>
          <w:caps w:val="false"/>
          <w:color w:val="1B4332"/>
          <w:sz w:val="40"/>
          <w:szCs w:val="40"/>
        </w:rPr>
        <w:t xml:space="preserve">Conclusion</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This paper has presented the architecture, methodology, and operational results of an end-to-end near-real-time monitoring system for illegal deforestation and artisanal gold mining in the Peruvian Amazon. The system achieves a mean segmentation IoU of 0.81 across five disturbance classes, a change-detection precision of 0.93, and a median detect-to-alert latency of 6.4 hours. During 2025, it delivered 14,210 actionable alerts to eleven partner organizations spanning conservation, government, and research sectors.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central argument of this work is that the combination of freely available satellite data (Sentinel-2, Sentinel-1), modern deep learning architectures (SegFormer, Siamese U-Net), and carefully constructed geospatial reference data can produce a monitoring capability previously achievable only through expensive commercial programs or large institutional remote sensing labs. By documenting this system in detail and releasing the underlying models and datasets under non-commercial research licenses, we hope to lower the barrier for similar initiatives in other high-deforestation regions.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none" w:color="FFFFFF" w:sz="0"/>
              <w:left w:val="none" w:color="FFFFFF" w:sz="0"/>
              <w:bottom w:val="none" w:color="FFFFFF" w:sz="0"/>
              <w:right w:val="none" w:color="FFFFFF" w:sz="0"/>
            </w:tcBorders>
            <w:shd w:fill="1B4332" w:val="clear"/>
            <w:tcMar>
              <w:top w:type="dxa" w:w="0"/>
              <w:left w:type="dxa" w:w="0"/>
              <w:bottom w:type="dxa" w:w="0"/>
              <w:right w:type="dxa" w:w="0"/>
            </w:tcMar>
          </w:tcPr>
          <w:p/>
        </w:tc>
        <w:tc>
          <w:tcPr>
            <w:tcW w:type="dxa" w:w="9160"/>
            <w:tcBorders>
              <w:top w:val="none" w:color="FFFFFF" w:sz="0"/>
              <w:left w:val="none" w:color="FFFFFF" w:sz="0"/>
              <w:bottom w:val="none" w:color="FFFFFF" w:sz="0"/>
              <w:right w:val="none" w:color="FFFFFF" w:sz="0"/>
            </w:tcBorders>
            <w:shd w:fill="D8F3DC" w:val="clear"/>
            <w:tcMar>
              <w:top w:type="dxa" w:w="160"/>
              <w:left w:type="dxa" w:w="280"/>
              <w:bottom w:type="dxa" w:w="160"/>
              <w:right w:type="dxa" w:w="200"/>
            </w:tcMar>
          </w:tcPr>
          <w:p>
            <w:pPr>
              <w:spacing w:after="0" w:before="0" w:line="300"/>
              <w:jc w:val="left"/>
            </w:pPr>
            <w:r>
              <w:rPr>
                <w:rFonts w:ascii="Garamond" w:cs="Garamond" w:eastAsia="Garamond" w:hAnsi="Garamond"/>
                <w:b w:val="false"/>
                <w:bCs w:val="false"/>
                <w:i/>
                <w:iCs/>
                <w:caps w:val="false"/>
                <w:color w:val="1B4332"/>
                <w:sz w:val="24"/>
                <w:szCs w:val="24"/>
              </w:rPr>
              <w:t xml:space="preserve">"Loss happens year-round. So does monitoring."</w:t>
            </w:r>
          </w:p>
        </w:tc>
      </w:tr>
    </w:tbl>
    <w:p>
      <w:pPr>
        <w:spacing w:after="0" w:before="120"/>
      </w:pPr>
    </w:p>
    <w:p>
      <w:pPr>
        <w:pStyle w:val="Heading2"/>
        <w:spacing w:after="80" w:before="260"/>
      </w:pPr>
      <w:r>
        <w:rPr>
          <w:rFonts w:ascii="Arial" w:cs="Arial" w:eastAsia="Arial" w:hAnsi="Arial"/>
          <w:b/>
          <w:bCs/>
          <w:i w:val="false"/>
          <w:iCs w:val="false"/>
          <w:caps w:val="false"/>
          <w:color w:val="1E293B"/>
          <w:sz w:val="26"/>
          <w:szCs w:val="26"/>
        </w:rPr>
        <w:t xml:space="preserve">Acknowledgments</w:t>
      </w:r>
    </w:p>
    <w:p>
      <w:pPr>
        <w:spacing w:after="80" w:before="60" w:line="300"/>
        <w:jc w:val="both"/>
      </w:pPr>
      <w:r>
        <w:rPr>
          <w:rFonts w:ascii="Garamond" w:cs="Garamond" w:eastAsia="Garamond" w:hAnsi="Garamond"/>
          <w:b w:val="false"/>
          <w:bCs w:val="false"/>
          <w:i w:val="false"/>
          <w:iCs w:val="false"/>
          <w:caps w:val="false"/>
          <w:color w:val="1E293B"/>
          <w:sz w:val="22"/>
          <w:szCs w:val="22"/>
        </w:rPr>
        <w:t xml:space="preserve">The author thanks the annotation team, partner field organizations, and the SERNANP rangers whose ground-truth observations underpin the validation dataset. Sentinel-2 and Sentinel-1 data are provided by ESA under the Copernicus Open Access policy. PlanetScope imagery is made available under the Planet Education and Research program. GFW alert data is provided by Global Forest Watch / WRI under a Creative Commons license.</w:t>
      </w:r>
    </w:p>
    <w:p>
      <w:pPr>
        <w:spacing w:after="0" w:before="120"/>
      </w:pPr>
    </w:p>
    <w:p>
      <w:pPr>
        <w:pBdr>
          <w:bottom w:val="single" w:color="CBD5E1" w:sz="3" w:space="1"/>
        </w:pBdr>
        <w:spacing w:after="120" w:before="120"/>
      </w:pPr>
    </w:p>
    <w:p>
      <w:pPr>
        <w:spacing w:after="0" w:before="80"/>
      </w:pPr>
    </w:p>
    <w:p>
      <w:pPr>
        <w:pStyle w:val="Heading2"/>
        <w:spacing w:after="80" w:before="260"/>
      </w:pPr>
      <w:r>
        <w:rPr>
          <w:rFonts w:ascii="Arial" w:cs="Arial" w:eastAsia="Arial" w:hAnsi="Arial"/>
          <w:b/>
          <w:bCs/>
          <w:i w:val="false"/>
          <w:iCs w:val="false"/>
          <w:caps w:val="false"/>
          <w:color w:val="1E293B"/>
          <w:sz w:val="26"/>
          <w:szCs w:val="26"/>
        </w:rPr>
        <w:t xml:space="preserve">References</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Daudt, H. C., Le Saux, B., &amp; Boulch, A. (2018). Fully convolutional siamese networks for change detection. IEEE ICIP 2018, 4063–4067.</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Dosovitskiy, A., et al. (2020). An image is worth 16×16 words: Transformers for image recognition at scale. arXiv:2010.11929.</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Hansen, M. C., et al. (2013). High-resolution global maps of 21st-century forest cover change. Science, 342(6160), 850–853.</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Qiu, S., Zhu, Z., &amp; He, B. (2019). FMask 4.0: Improved cloud and cloud shadow detection in Landsats 4–8 and Sentinel-2 imagery. Remote Sensing of Environment, 231, 111205.</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Reiche, J., et al. (2021). Forest disturbance alerts for the Congo Basin using Sentinel-1. Environmental Research Letters, 16(2), 024005.</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Ronneberger, O., Fischer, P., &amp; Brox, T. (2015). U-Net: Convolutional networks for biomedical image segmentation. MICCAI 2015, 234–241. Springer.</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Souza, C., et al. (2013). Ten-year Landsat classification of deforestation and forest degradation in the Brazilian Amazon. Remote Sensing, 5(11), 5493–5513.</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Xie, E., et al. (2021). SegFormer: Simple and efficient design for semantic segmentation with transformers. NeurIPS 34, 12077–12090.</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Amazon Conservation Association / ACCA. (2024). MAAP: Monitoring of the Andean Amazon Project — Annual Synthesis Report. Lima, Peru.</w:t>
      </w:r>
    </w:p>
    <w:p>
      <w:pPr>
        <w:spacing w:after="50" w:before="50" w:line="264"/>
        <w:ind w:left="440" w:hanging="440"/>
      </w:pPr>
      <w:r>
        <w:rPr>
          <w:rFonts w:ascii="Garamond" w:cs="Garamond" w:eastAsia="Garamond" w:hAnsi="Garamond"/>
          <w:b w:val="false"/>
          <w:bCs w:val="false"/>
          <w:i w:val="false"/>
          <w:iCs w:val="false"/>
          <w:caps w:val="false"/>
          <w:color w:val="64748B"/>
          <w:sz w:val="19"/>
          <w:szCs w:val="19"/>
        </w:rPr>
        <w:t xml:space="preserve">SERNANP. (2024). Informe Anual sobre la Efectividad del Manejo de las Áreas Naturales Protegidas del Perú. Lima.</w:t>
      </w:r>
    </w:p>
    <w:p>
      <w:pPr>
        <w:spacing w:after="0" w:before="200"/>
      </w:pPr>
    </w:p>
    <w:p>
      <w:pPr>
        <w:pBdr>
          <w:top w:val="single" w:color="1B4332" w:sz="6" w:space="4"/>
        </w:pBdr>
        <w:tabs>
          <w:tab w:val="right" w:pos="9360"/>
        </w:tabs>
        <w:spacing w:after="40" w:before="80"/>
      </w:pPr>
      <w:r>
        <w:rPr>
          <w:rFonts w:ascii="Arial" w:cs="Arial" w:eastAsia="Arial" w:hAnsi="Arial"/>
          <w:b/>
          <w:bCs/>
          <w:i w:val="false"/>
          <w:iCs w:val="false"/>
          <w:caps/>
          <w:color w:val="1B4332"/>
          <w:spacing w:val="60"/>
          <w:sz w:val="18"/>
          <w:szCs w:val="18"/>
        </w:rPr>
        <w:t xml:space="preserve">CANOPY VISION LAB</w:t>
      </w:r>
      <w:r>
        <w:rPr>
          <w:rFonts w:ascii="Arial" w:cs="Arial" w:eastAsia="Arial" w:hAnsi="Arial"/>
          <w:b w:val="false"/>
          <w:bCs w:val="false"/>
          <w:i w:val="false"/>
          <w:iCs w:val="false"/>
          <w:caps w:val="false"/>
          <w:color w:val="1E293B"/>
          <w:sz w:val="18"/>
          <w:szCs w:val="18"/>
        </w:rPr>
        <w:t xml:space="preserve">	</w:t>
      </w:r>
      <w:r>
        <w:rPr>
          <w:rFonts w:ascii="Arial" w:cs="Arial" w:eastAsia="Arial" w:hAnsi="Arial"/>
          <w:b w:val="false"/>
          <w:bCs w:val="false"/>
          <w:i w:val="false"/>
          <w:iCs w:val="false"/>
          <w:caps w:val="false"/>
          <w:color w:val="2D6A4F"/>
          <w:sz w:val="18"/>
          <w:szCs w:val="18"/>
        </w:rPr>
        <w:t xml:space="preserve">hello@canopyaivisionlab.org</w:t>
      </w:r>
    </w:p>
    <w:p>
      <w:pPr>
        <w:tabs>
          <w:tab w:val="right" w:pos="9360"/>
        </w:tabs>
        <w:spacing w:after="0" w:before="0"/>
      </w:pPr>
      <w:r>
        <w:rPr>
          <w:rFonts w:ascii="Arial" w:cs="Arial" w:eastAsia="Arial" w:hAnsi="Arial"/>
          <w:b w:val="false"/>
          <w:bCs w:val="false"/>
          <w:i w:val="false"/>
          <w:iCs w:val="false"/>
          <w:caps w:val="false"/>
          <w:color w:val="64748B"/>
          <w:sz w:val="17"/>
          <w:szCs w:val="17"/>
        </w:rPr>
        <w:t xml:space="preserve">Salt Lake City, UT  ·  Lima, PE  ·  Est. 2023</w:t>
      </w:r>
      <w:r>
        <w:rPr>
          <w:rFonts w:ascii="Arial" w:cs="Arial" w:eastAsia="Arial" w:hAnsi="Arial"/>
          <w:b w:val="false"/>
          <w:bCs w:val="false"/>
          <w:i w:val="false"/>
          <w:iCs w:val="false"/>
          <w:caps w:val="false"/>
          <w:color w:val="1E293B"/>
          <w:sz w:val="17"/>
          <w:szCs w:val="17"/>
        </w:rPr>
        <w:t xml:space="preserve">	</w:t>
      </w:r>
      <w:r>
        <w:rPr>
          <w:rFonts w:ascii="Arial" w:cs="Arial" w:eastAsia="Arial" w:hAnsi="Arial"/>
          <w:b w:val="false"/>
          <w:bCs w:val="false"/>
          <w:i w:val="false"/>
          <w:iCs w:val="false"/>
          <w:caps w:val="false"/>
          <w:color w:val="64748B"/>
          <w:sz w:val="17"/>
          <w:szCs w:val="17"/>
        </w:rPr>
        <w:t xml:space="preserve">canopyaivisionlab.org</w:t>
      </w:r>
    </w:p>
    <w:sectPr>
      <w:headerReference w:type="default" r:id="rId7"/>
      <w:footerReference w:type="default" r:id="rId8"/>
      <w:pgSz w:w="12240" w:h="15840" w:orient="portrait"/>
      <w:pgMar w:top="126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3" w:space="2"/>
      </w:pBdr>
      <w:tabs>
        <w:tab w:val="right" w:pos="9360"/>
      </w:tabs>
      <w:spacing w:before="60"/>
    </w:pPr>
    <w:r>
      <w:rPr>
        <w:rFonts w:ascii="Arial" w:cs="Arial" w:eastAsia="Arial" w:hAnsi="Arial"/>
        <w:b w:val="false"/>
        <w:bCs w:val="false"/>
        <w:i w:val="false"/>
        <w:iCs w:val="false"/>
        <w:caps w:val="false"/>
        <w:color w:val="64748B"/>
        <w:sz w:val="16"/>
        <w:szCs w:val="16"/>
      </w:rPr>
      <w:t xml:space="preserve">Renfro, C. (2025). Near-Real-Time Deforestation Detection, Peruvian Amazon.</w:t>
    </w:r>
    <w:r>
      <w:rPr>
        <w:rFonts w:ascii="Arial" w:cs="Arial" w:eastAsia="Arial" w:hAnsi="Arial"/>
        <w:b w:val="false"/>
        <w:bCs w:val="false"/>
        <w:i w:val="false"/>
        <w:iCs w:val="false"/>
        <w:caps w:val="false"/>
        <w:color w:val="1E293B"/>
        <w:sz w:val="16"/>
        <w:szCs w:val="16"/>
      </w:rPr>
      <w:t xml:space="preserve">	</w:t>
    </w:r>
    <w:r>
      <w:rPr>
        <w:rFonts w:ascii="Arial" w:cs="Arial" w:eastAsia="Arial" w:hAnsi="Arial"/>
        <w:b w:val="false"/>
        <w:bCs w:val="false"/>
        <w:i w:val="false"/>
        <w:iCs w:val="false"/>
        <w:caps w:val="false"/>
        <w:color w:val="64748B"/>
        <w:sz w:val="16"/>
        <w:szCs w:val="16"/>
      </w:rPr>
      <w:t xml:space="preserve">p. </w:t>
    </w:r>
    <w:r>
      <w:rPr>
        <w:rFonts w:ascii="Arial" w:cs="Arial" w:eastAsia="Arial" w:hAnsi="Arial"/>
        <w:color w:val="64748B"/>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r>
        <w:rPr>
          <w:rStyle w:val="FootnoteReference"/>
        </w:rPr>
        <w:footnoteRef/>
      </w:r>
      <w:r>
        <w:rPr>
          <w:rFonts w:ascii="Garamond" w:cs="Garamond" w:eastAsia="Garamond" w:hAnsi="Garamond"/>
          <w:b w:val="false"/>
          <w:bCs w:val="false"/>
          <w:i w:val="false"/>
          <w:iCs w:val="false"/>
          <w:caps w:val="false"/>
          <w:color w:val="1E293B"/>
          <w:sz w:val="18"/>
          <w:szCs w:val="18"/>
        </w:rPr>
        <w:t xml:space="preserve">MAAP/ACCA Monitoring of the Andean Amazon Project — annual synthesis, 2024.</w:t>
      </w:r>
    </w:p>
  </w:footnote>
  <w:footnote w:id="2">
    <w:p>
      <w:r>
        <w:rPr>
          <w:rStyle w:val="FootnoteReference"/>
        </w:rPr>
        <w:footnoteRef/>
      </w:r>
      <w:r>
        <w:rPr>
          <w:rFonts w:ascii="Garamond" w:cs="Garamond" w:eastAsia="Garamond" w:hAnsi="Garamond"/>
          <w:b w:val="false"/>
          <w:bCs w:val="false"/>
          <w:i w:val="false"/>
          <w:iCs w:val="false"/>
          <w:caps w:val="false"/>
          <w:color w:val="1E293B"/>
          <w:sz w:val="18"/>
          <w:szCs w:val="18"/>
        </w:rPr>
        <w:t xml:space="preserve">Sentinel-2 archive cloud-cover statistics computed over 2020–2024 using Google Earth Engine, restricted to 10-day granules covering Madre de Dios.</w:t>
      </w:r>
    </w:p>
  </w:footnote>
  <w:footnote w:id="3">
    <w:p>
      <w:r>
        <w:rPr>
          <w:rStyle w:val="FootnoteReference"/>
        </w:rPr>
        <w:footnoteRef/>
      </w:r>
      <w:r>
        <w:rPr>
          <w:rFonts w:ascii="Garamond" w:cs="Garamond" w:eastAsia="Garamond" w:hAnsi="Garamond"/>
          <w:b w:val="false"/>
          <w:bCs w:val="false"/>
          <w:i w:val="false"/>
          <w:iCs w:val="false"/>
          <w:caps w:val="false"/>
          <w:color w:val="1E293B"/>
          <w:sz w:val="18"/>
          <w:szCs w:val="18"/>
        </w:rPr>
        <w:t xml:space="preserve">SegFormer: Simple and Efficient Design for Semantic Segmentation with Transformers. Xie et al., NeurIPS 2021.</w:t>
      </w:r>
    </w:p>
  </w:footnote>
  <w:footnote w:id="4">
    <w:p>
      <w:r>
        <w:rPr>
          <w:rStyle w:val="FootnoteReference"/>
        </w:rPr>
        <w:footnoteRef/>
      </w:r>
      <w:r>
        <w:rPr>
          <w:rFonts w:ascii="Garamond" w:cs="Garamond" w:eastAsia="Garamond" w:hAnsi="Garamond"/>
          <w:b w:val="false"/>
          <w:bCs w:val="false"/>
          <w:i w:val="false"/>
          <w:iCs w:val="false"/>
          <w:caps w:val="false"/>
          <w:color w:val="1E293B"/>
          <w:sz w:val="18"/>
          <w:szCs w:val="18"/>
        </w:rPr>
        <w:t xml:space="preserve">Fully Convolutional Siamese Networks for Change Detection. Daudt et al., IEEE ICIP 2018.</w:t>
      </w:r>
    </w:p>
  </w:footnote>
  <w:footnote w:id="5">
    <w:p>
      <w:r>
        <w:rPr>
          <w:rStyle w:val="FootnoteReference"/>
        </w:rPr>
        <w:footnoteRef/>
      </w:r>
      <w:r>
        <w:rPr>
          <w:rFonts w:ascii="Garamond" w:cs="Garamond" w:eastAsia="Garamond" w:hAnsi="Garamond"/>
          <w:b w:val="false"/>
          <w:bCs w:val="false"/>
          <w:i w:val="false"/>
          <w:iCs w:val="false"/>
          <w:caps w:val="false"/>
          <w:color w:val="1E293B"/>
          <w:sz w:val="18"/>
          <w:szCs w:val="18"/>
        </w:rPr>
        <w:t xml:space="preserve">FMask 4.0: Improved cloud and cloud shadow detection in Landsats 4–8 and Sentinel-2 imagery. Qiu et al., Remote Sensing of Environment,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4332" w:sz="8" w:space="1"/>
      </w:pBdr>
      <w:tabs>
        <w:tab w:val="right" w:pos="9360"/>
      </w:tabs>
      <w:spacing w:after="0"/>
    </w:pPr>
    <w:r>
      <w:rPr>
        <w:rFonts w:ascii="Arial" w:cs="Arial" w:eastAsia="Arial" w:hAnsi="Arial"/>
        <w:b w:val="false"/>
        <w:bCs w:val="false"/>
        <w:i w:val="false"/>
        <w:iCs w:val="false"/>
        <w:caps/>
        <w:color w:val="64748B"/>
        <w:spacing w:val="40"/>
        <w:sz w:val="16"/>
        <w:szCs w:val="16"/>
      </w:rPr>
      <w:t xml:space="preserve">CANOPY VISION LAB  ·  RESEARCH PREPRINT  ·  2025</w:t>
    </w:r>
    <w:r>
      <w:rPr>
        <w:rFonts w:ascii="Arial" w:cs="Arial" w:eastAsia="Arial" w:hAnsi="Arial"/>
        <w:b w:val="false"/>
        <w:bCs w:val="false"/>
        <w:i w:val="false"/>
        <w:iCs w:val="false"/>
        <w:caps w:val="false"/>
        <w:color w:val="1E293B"/>
        <w:sz w:val="16"/>
        <w:szCs w:val="16"/>
      </w:rPr>
      <w:t xml:space="preserve">	</w:t>
    </w:r>
    <w:r>
      <w:rPr>
        <w:rFonts w:ascii="Arial" w:cs="Arial" w:eastAsia="Arial" w:hAnsi="Arial"/>
        <w:b w:val="false"/>
        <w:bCs w:val="false"/>
        <w:i w:val="false"/>
        <w:iCs w:val="false"/>
        <w:caps w:val="false"/>
        <w:color w:val="2D6A4F"/>
        <w:sz w:val="16"/>
        <w:szCs w:val="16"/>
      </w:rPr>
      <w:t xml:space="preserve">canopyaivisionlab.org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rPr>
        <w:b/>
        <w:bCs/>
        <w:color w:val="2D6A4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
      <w:outlineLvl w:val="0"/>
    </w:pPr>
    <w:rPr>
      <w:rFonts w:ascii="Arial" w:cs="Arial" w:eastAsia="Arial" w:hAnsi="Arial"/>
      <w:b/>
      <w:bCs/>
      <w:color w:val="1B4332"/>
      <w:sz w:val="40"/>
      <w:szCs w:val="40"/>
    </w:rPr>
  </w:style>
  <w:style w:type="paragraph" w:styleId="Heading2">
    <w:name w:val="Heading 2"/>
    <w:basedOn w:val="Normal"/>
    <w:next w:val="Normal"/>
    <w:qFormat/>
    <w:pPr>
      <w:spacing w:after="80" w:before="260"/>
      <w:outlineLvl w:val="1"/>
    </w:pPr>
    <w:rPr>
      <w:rFonts w:ascii="Arial" w:cs="Arial" w:eastAsia="Arial" w:hAnsi="Arial"/>
      <w:b/>
      <w:bCs/>
      <w:color w:val="1E293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2026-05-22T06:36:10.651Z</dcterms:created>
  <dcterms:modified xsi:type="dcterms:W3CDTF">2026-05-22T06:36:10.652Z</dcterms:modified>
</cp:coreProperties>
</file>

<file path=docProps/custom.xml><?xml version="1.0" encoding="utf-8"?>
<Properties xmlns="http://schemas.openxmlformats.org/officeDocument/2006/custom-properties" xmlns:vt="http://schemas.openxmlformats.org/officeDocument/2006/docPropsVTypes"/>
</file>